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307C4D" w14:textId="77777777" w:rsidR="003A4FC5" w:rsidRPr="003A4FC5" w:rsidRDefault="003A4FC5" w:rsidP="003A4FC5">
      <w:pPr>
        <w:spacing w:after="0" w:line="240" w:lineRule="auto"/>
        <w:jc w:val="center"/>
        <w:rPr>
          <w:rFonts w:ascii="Calibri" w:eastAsia="Times New Roman" w:hAnsi="Calibri" w:cs="Calibri"/>
          <w:color w:val="000000"/>
          <w:lang w:val="en-US" w:eastAsia="en-ZA"/>
        </w:rPr>
      </w:pPr>
      <w:r w:rsidRPr="003A4FC5">
        <w:rPr>
          <w:rFonts w:ascii="Arial" w:eastAsia="Times New Roman" w:hAnsi="Arial" w:cs="Arial"/>
          <w:b/>
          <w:bCs/>
          <w:color w:val="000000"/>
          <w:lang w:val="en-US" w:eastAsia="en-ZA"/>
        </w:rPr>
        <w:t>OUTCOME OF CASES - TRIBUNAL ROLL FOR WEDNESDAY, 7 DECEMBER 2016</w:t>
      </w:r>
    </w:p>
    <w:p w14:paraId="391D4CE5" w14:textId="77777777" w:rsidR="003A4FC5" w:rsidRPr="003A4FC5" w:rsidRDefault="003A4FC5" w:rsidP="003A4FC5">
      <w:pPr>
        <w:spacing w:after="0" w:line="240" w:lineRule="auto"/>
        <w:jc w:val="both"/>
        <w:rPr>
          <w:rFonts w:ascii="Calibri" w:eastAsia="Times New Roman" w:hAnsi="Calibri" w:cs="Calibri"/>
          <w:color w:val="000000"/>
          <w:lang w:val="en-US" w:eastAsia="en-ZA"/>
        </w:rPr>
      </w:pPr>
      <w:r w:rsidRPr="003A4FC5">
        <w:rPr>
          <w:rFonts w:ascii="Arial" w:eastAsia="Times New Roman" w:hAnsi="Arial" w:cs="Arial"/>
          <w:color w:val="000000"/>
          <w:lang w:val="en-US" w:eastAsia="en-ZA"/>
        </w:rPr>
        <w:t> </w:t>
      </w:r>
    </w:p>
    <w:p w14:paraId="5AA0EC2C" w14:textId="56B5691E" w:rsidR="003A4FC5" w:rsidRPr="003A4FC5" w:rsidRDefault="003A4FC5" w:rsidP="003A4FC5">
      <w:pPr>
        <w:spacing w:after="0" w:line="240" w:lineRule="auto"/>
        <w:jc w:val="both"/>
        <w:rPr>
          <w:rFonts w:ascii="Calibri" w:eastAsia="Times New Roman" w:hAnsi="Calibri" w:cs="Calibri"/>
          <w:color w:val="000000"/>
          <w:lang w:val="en-US" w:eastAsia="en-ZA"/>
        </w:rPr>
      </w:pPr>
      <w:r w:rsidRPr="003A4FC5">
        <w:rPr>
          <w:rFonts w:ascii="Arial" w:eastAsia="Times New Roman" w:hAnsi="Arial" w:cs="Arial"/>
          <w:b/>
          <w:bCs/>
          <w:color w:val="000000"/>
          <w:lang w:val="en-US" w:eastAsia="en-ZA"/>
        </w:rPr>
        <w:t> </w:t>
      </w:r>
      <w:bookmarkStart w:id="0" w:name="_GoBack"/>
      <w:bookmarkEnd w:id="0"/>
      <w:r w:rsidRPr="003A4FC5">
        <w:rPr>
          <w:rFonts w:ascii="Arial" w:eastAsia="Times New Roman" w:hAnsi="Arial" w:cs="Arial"/>
          <w:color w:val="000000"/>
          <w:lang w:val="en-US" w:eastAsia="en-ZA"/>
        </w:rPr>
        <w:t> </w:t>
      </w:r>
    </w:p>
    <w:tbl>
      <w:tblPr>
        <w:tblW w:w="9350" w:type="dxa"/>
        <w:tblCellMar>
          <w:left w:w="0" w:type="dxa"/>
          <w:right w:w="0" w:type="dxa"/>
        </w:tblCellMar>
        <w:tblLook w:val="04A0" w:firstRow="1" w:lastRow="0" w:firstColumn="1" w:lastColumn="0" w:noHBand="0" w:noVBand="1"/>
      </w:tblPr>
      <w:tblGrid>
        <w:gridCol w:w="2466"/>
        <w:gridCol w:w="2474"/>
        <w:gridCol w:w="2502"/>
        <w:gridCol w:w="1908"/>
      </w:tblGrid>
      <w:tr w:rsidR="003A4FC5" w:rsidRPr="003A4FC5" w14:paraId="661B4899" w14:textId="77777777" w:rsidTr="003A4FC5">
        <w:trPr>
          <w:trHeight w:val="972"/>
        </w:trPr>
        <w:tc>
          <w:tcPr>
            <w:tcW w:w="2466" w:type="dxa"/>
            <w:tcBorders>
              <w:top w:val="single" w:sz="8" w:space="0" w:color="996633"/>
              <w:left w:val="single" w:sz="8" w:space="0" w:color="996633"/>
              <w:bottom w:val="single" w:sz="8" w:space="0" w:color="996633"/>
              <w:right w:val="single" w:sz="8" w:space="0" w:color="996633"/>
            </w:tcBorders>
            <w:shd w:val="clear" w:color="auto" w:fill="996633"/>
            <w:tcMar>
              <w:top w:w="0" w:type="dxa"/>
              <w:left w:w="108" w:type="dxa"/>
              <w:bottom w:w="0" w:type="dxa"/>
              <w:right w:w="108" w:type="dxa"/>
            </w:tcMar>
            <w:hideMark/>
          </w:tcPr>
          <w:p w14:paraId="6A913D8E" w14:textId="77777777" w:rsidR="003A4FC5" w:rsidRPr="003A4FC5" w:rsidRDefault="003A4FC5" w:rsidP="003A4FC5">
            <w:pPr>
              <w:spacing w:after="0" w:line="240" w:lineRule="auto"/>
              <w:rPr>
                <w:rFonts w:ascii="Calibri" w:eastAsia="Times New Roman" w:hAnsi="Calibri" w:cs="Calibri"/>
                <w:lang w:eastAsia="en-ZA"/>
              </w:rPr>
            </w:pPr>
            <w:r w:rsidRPr="003A4FC5">
              <w:rPr>
                <w:rFonts w:ascii="Arial" w:eastAsia="Times New Roman" w:hAnsi="Arial" w:cs="Arial"/>
                <w:color w:val="FFFFFF"/>
                <w:lang w:eastAsia="en-ZA"/>
              </w:rPr>
              <w:t>Type of matter</w:t>
            </w:r>
          </w:p>
        </w:tc>
        <w:tc>
          <w:tcPr>
            <w:tcW w:w="2474" w:type="dxa"/>
            <w:tcBorders>
              <w:top w:val="single" w:sz="8" w:space="0" w:color="996633"/>
              <w:left w:val="nil"/>
              <w:bottom w:val="single" w:sz="8" w:space="0" w:color="996633"/>
              <w:right w:val="single" w:sz="8" w:space="0" w:color="996633"/>
            </w:tcBorders>
            <w:shd w:val="clear" w:color="auto" w:fill="996633"/>
            <w:tcMar>
              <w:top w:w="0" w:type="dxa"/>
              <w:left w:w="108" w:type="dxa"/>
              <w:bottom w:w="0" w:type="dxa"/>
              <w:right w:w="108" w:type="dxa"/>
            </w:tcMar>
            <w:hideMark/>
          </w:tcPr>
          <w:p w14:paraId="60F36E2A" w14:textId="77777777" w:rsidR="003A4FC5" w:rsidRPr="003A4FC5" w:rsidRDefault="003A4FC5" w:rsidP="003A4FC5">
            <w:pPr>
              <w:spacing w:after="0" w:line="240" w:lineRule="auto"/>
              <w:rPr>
                <w:rFonts w:ascii="Calibri" w:eastAsia="Times New Roman" w:hAnsi="Calibri" w:cs="Calibri"/>
                <w:lang w:eastAsia="en-ZA"/>
              </w:rPr>
            </w:pPr>
            <w:r w:rsidRPr="003A4FC5">
              <w:rPr>
                <w:rFonts w:ascii="Arial" w:eastAsia="Times New Roman" w:hAnsi="Arial" w:cs="Arial"/>
                <w:color w:val="FFFFFF"/>
                <w:lang w:eastAsia="en-ZA"/>
              </w:rPr>
              <w:t>Parties involved</w:t>
            </w:r>
          </w:p>
        </w:tc>
        <w:tc>
          <w:tcPr>
            <w:tcW w:w="2502" w:type="dxa"/>
            <w:tcBorders>
              <w:top w:val="single" w:sz="8" w:space="0" w:color="996633"/>
              <w:left w:val="nil"/>
              <w:bottom w:val="single" w:sz="8" w:space="0" w:color="996633"/>
              <w:right w:val="single" w:sz="8" w:space="0" w:color="996633"/>
            </w:tcBorders>
            <w:shd w:val="clear" w:color="auto" w:fill="996633"/>
            <w:tcMar>
              <w:top w:w="0" w:type="dxa"/>
              <w:left w:w="108" w:type="dxa"/>
              <w:bottom w:w="0" w:type="dxa"/>
              <w:right w:w="108" w:type="dxa"/>
            </w:tcMar>
            <w:hideMark/>
          </w:tcPr>
          <w:p w14:paraId="75D62B94" w14:textId="77777777" w:rsidR="003A4FC5" w:rsidRPr="003A4FC5" w:rsidRDefault="003A4FC5" w:rsidP="003A4FC5">
            <w:pPr>
              <w:spacing w:after="0" w:line="240" w:lineRule="auto"/>
              <w:rPr>
                <w:rFonts w:ascii="Calibri" w:eastAsia="Times New Roman" w:hAnsi="Calibri" w:cs="Calibri"/>
                <w:lang w:eastAsia="en-ZA"/>
              </w:rPr>
            </w:pPr>
            <w:r w:rsidRPr="003A4FC5">
              <w:rPr>
                <w:rFonts w:ascii="Arial" w:eastAsia="Times New Roman" w:hAnsi="Arial" w:cs="Arial"/>
                <w:color w:val="FFFFFF"/>
                <w:lang w:eastAsia="en-ZA"/>
              </w:rPr>
              <w:t>Competition Commission’s recommendation to Tribunal</w:t>
            </w:r>
          </w:p>
        </w:tc>
        <w:tc>
          <w:tcPr>
            <w:tcW w:w="1908" w:type="dxa"/>
            <w:tcBorders>
              <w:top w:val="single" w:sz="8" w:space="0" w:color="996633"/>
              <w:left w:val="nil"/>
              <w:bottom w:val="single" w:sz="8" w:space="0" w:color="996633"/>
              <w:right w:val="single" w:sz="8" w:space="0" w:color="996633"/>
            </w:tcBorders>
            <w:shd w:val="clear" w:color="auto" w:fill="996633"/>
            <w:tcMar>
              <w:top w:w="0" w:type="dxa"/>
              <w:left w:w="108" w:type="dxa"/>
              <w:bottom w:w="0" w:type="dxa"/>
              <w:right w:w="108" w:type="dxa"/>
            </w:tcMar>
            <w:hideMark/>
          </w:tcPr>
          <w:p w14:paraId="3452C34E" w14:textId="77777777" w:rsidR="003A4FC5" w:rsidRPr="003A4FC5" w:rsidRDefault="003A4FC5" w:rsidP="003A4FC5">
            <w:pPr>
              <w:spacing w:after="0" w:line="240" w:lineRule="auto"/>
              <w:rPr>
                <w:rFonts w:ascii="Calibri" w:eastAsia="Times New Roman" w:hAnsi="Calibri" w:cs="Calibri"/>
                <w:lang w:eastAsia="en-ZA"/>
              </w:rPr>
            </w:pPr>
            <w:r w:rsidRPr="003A4FC5">
              <w:rPr>
                <w:rFonts w:ascii="Arial" w:eastAsia="Times New Roman" w:hAnsi="Arial" w:cs="Arial"/>
                <w:color w:val="FFFFFF"/>
                <w:lang w:eastAsia="en-ZA"/>
              </w:rPr>
              <w:t>Tribunal decision</w:t>
            </w:r>
          </w:p>
        </w:tc>
      </w:tr>
      <w:tr w:rsidR="003A4FC5" w:rsidRPr="003A4FC5" w14:paraId="36A23E5A" w14:textId="77777777" w:rsidTr="003A4FC5">
        <w:trPr>
          <w:trHeight w:val="493"/>
        </w:trPr>
        <w:tc>
          <w:tcPr>
            <w:tcW w:w="2466" w:type="dxa"/>
            <w:tcBorders>
              <w:top w:val="nil"/>
              <w:left w:val="single" w:sz="8" w:space="0" w:color="996633"/>
              <w:bottom w:val="single" w:sz="8" w:space="0" w:color="996633"/>
              <w:right w:val="single" w:sz="8" w:space="0" w:color="996633"/>
            </w:tcBorders>
            <w:tcMar>
              <w:top w:w="0" w:type="dxa"/>
              <w:left w:w="108" w:type="dxa"/>
              <w:bottom w:w="0" w:type="dxa"/>
              <w:right w:w="108" w:type="dxa"/>
            </w:tcMar>
            <w:hideMark/>
          </w:tcPr>
          <w:p w14:paraId="3FBCF770" w14:textId="77777777" w:rsidR="003A4FC5" w:rsidRPr="003A4FC5" w:rsidRDefault="003A4FC5" w:rsidP="003A4FC5">
            <w:pPr>
              <w:spacing w:after="0" w:line="240" w:lineRule="auto"/>
              <w:jc w:val="both"/>
              <w:rPr>
                <w:rFonts w:ascii="Calibri" w:eastAsia="Times New Roman" w:hAnsi="Calibri" w:cs="Calibri"/>
                <w:lang w:eastAsia="en-ZA"/>
              </w:rPr>
            </w:pPr>
            <w:r w:rsidRPr="003A4FC5">
              <w:rPr>
                <w:rFonts w:ascii="Arial" w:eastAsia="Times New Roman" w:hAnsi="Arial" w:cs="Arial"/>
                <w:lang w:eastAsia="en-ZA"/>
              </w:rPr>
              <w:t>Consent agreement</w:t>
            </w:r>
          </w:p>
        </w:tc>
        <w:tc>
          <w:tcPr>
            <w:tcW w:w="2474" w:type="dxa"/>
            <w:tcBorders>
              <w:top w:val="nil"/>
              <w:left w:val="nil"/>
              <w:bottom w:val="single" w:sz="8" w:space="0" w:color="996633"/>
              <w:right w:val="single" w:sz="8" w:space="0" w:color="996633"/>
            </w:tcBorders>
            <w:tcMar>
              <w:top w:w="0" w:type="dxa"/>
              <w:left w:w="108" w:type="dxa"/>
              <w:bottom w:w="0" w:type="dxa"/>
              <w:right w:w="108" w:type="dxa"/>
            </w:tcMar>
            <w:hideMark/>
          </w:tcPr>
          <w:p w14:paraId="4F6D6611" w14:textId="77777777" w:rsidR="003A4FC5" w:rsidRPr="003A4FC5" w:rsidRDefault="003A4FC5" w:rsidP="003A4FC5">
            <w:pPr>
              <w:spacing w:after="0" w:line="240" w:lineRule="auto"/>
              <w:jc w:val="both"/>
              <w:rPr>
                <w:rFonts w:ascii="Calibri" w:eastAsia="Times New Roman" w:hAnsi="Calibri" w:cs="Calibri"/>
                <w:lang w:eastAsia="en-ZA"/>
              </w:rPr>
            </w:pPr>
            <w:r w:rsidRPr="003A4FC5">
              <w:rPr>
                <w:rFonts w:ascii="Arial" w:eastAsia="Times New Roman" w:hAnsi="Arial" w:cs="Arial"/>
                <w:color w:val="000000"/>
                <w:lang w:eastAsia="en-ZA"/>
              </w:rPr>
              <w:t xml:space="preserve">Competition Commission And </w:t>
            </w:r>
            <w:proofErr w:type="spellStart"/>
            <w:r w:rsidRPr="003A4FC5">
              <w:rPr>
                <w:rFonts w:ascii="Arial" w:eastAsia="Times New Roman" w:hAnsi="Arial" w:cs="Arial"/>
                <w:color w:val="000000"/>
                <w:lang w:eastAsia="en-ZA"/>
              </w:rPr>
              <w:t>Pelchem</w:t>
            </w:r>
            <w:proofErr w:type="spellEnd"/>
            <w:r w:rsidRPr="003A4FC5">
              <w:rPr>
                <w:rFonts w:ascii="Arial" w:eastAsia="Times New Roman" w:hAnsi="Arial" w:cs="Arial"/>
                <w:color w:val="000000"/>
                <w:lang w:eastAsia="en-ZA"/>
              </w:rPr>
              <w:t xml:space="preserve"> SOC Ltd</w:t>
            </w:r>
          </w:p>
        </w:tc>
        <w:tc>
          <w:tcPr>
            <w:tcW w:w="2502" w:type="dxa"/>
            <w:tcBorders>
              <w:top w:val="nil"/>
              <w:left w:val="nil"/>
              <w:bottom w:val="single" w:sz="8" w:space="0" w:color="996633"/>
              <w:right w:val="single" w:sz="8" w:space="0" w:color="996633"/>
            </w:tcBorders>
            <w:tcMar>
              <w:top w:w="0" w:type="dxa"/>
              <w:left w:w="108" w:type="dxa"/>
              <w:bottom w:w="0" w:type="dxa"/>
              <w:right w:w="108" w:type="dxa"/>
            </w:tcMar>
            <w:hideMark/>
          </w:tcPr>
          <w:p w14:paraId="32F186F9" w14:textId="77777777" w:rsidR="003A4FC5" w:rsidRPr="003A4FC5" w:rsidRDefault="003A4FC5" w:rsidP="003A4FC5">
            <w:pPr>
              <w:spacing w:after="0" w:line="240" w:lineRule="auto"/>
              <w:jc w:val="both"/>
              <w:rPr>
                <w:rFonts w:ascii="Calibri" w:eastAsia="Times New Roman" w:hAnsi="Calibri" w:cs="Calibri"/>
                <w:lang w:eastAsia="en-ZA"/>
              </w:rPr>
            </w:pPr>
            <w:r w:rsidRPr="003A4FC5">
              <w:rPr>
                <w:rFonts w:ascii="Arial" w:eastAsia="Times New Roman" w:hAnsi="Arial" w:cs="Arial"/>
                <w:lang w:eastAsia="en-ZA"/>
              </w:rPr>
              <w:t>Confirm consent order</w:t>
            </w:r>
          </w:p>
        </w:tc>
        <w:tc>
          <w:tcPr>
            <w:tcW w:w="1908" w:type="dxa"/>
            <w:tcBorders>
              <w:top w:val="nil"/>
              <w:left w:val="nil"/>
              <w:bottom w:val="single" w:sz="8" w:space="0" w:color="996633"/>
              <w:right w:val="single" w:sz="8" w:space="0" w:color="996633"/>
            </w:tcBorders>
            <w:tcMar>
              <w:top w:w="0" w:type="dxa"/>
              <w:left w:w="108" w:type="dxa"/>
              <w:bottom w:w="0" w:type="dxa"/>
              <w:right w:w="108" w:type="dxa"/>
            </w:tcMar>
            <w:hideMark/>
          </w:tcPr>
          <w:p w14:paraId="76D3CE67" w14:textId="77777777" w:rsidR="003A4FC5" w:rsidRPr="003A4FC5" w:rsidRDefault="003A4FC5" w:rsidP="003A4FC5">
            <w:pPr>
              <w:spacing w:after="0" w:line="240" w:lineRule="auto"/>
              <w:jc w:val="both"/>
              <w:rPr>
                <w:rFonts w:ascii="Calibri" w:eastAsia="Times New Roman" w:hAnsi="Calibri" w:cs="Calibri"/>
                <w:lang w:eastAsia="en-ZA"/>
              </w:rPr>
            </w:pPr>
            <w:r w:rsidRPr="003A4FC5">
              <w:rPr>
                <w:rFonts w:ascii="Arial" w:eastAsia="Times New Roman" w:hAnsi="Arial" w:cs="Arial"/>
                <w:lang w:eastAsia="en-ZA"/>
              </w:rPr>
              <w:t xml:space="preserve">Confirmed consent order </w:t>
            </w:r>
          </w:p>
        </w:tc>
      </w:tr>
      <w:tr w:rsidR="003A4FC5" w:rsidRPr="003A4FC5" w14:paraId="6C4B8204" w14:textId="77777777" w:rsidTr="003A4FC5">
        <w:trPr>
          <w:trHeight w:val="70"/>
        </w:trPr>
        <w:tc>
          <w:tcPr>
            <w:tcW w:w="2466" w:type="dxa"/>
            <w:tcBorders>
              <w:top w:val="nil"/>
              <w:left w:val="single" w:sz="8" w:space="0" w:color="996633"/>
              <w:bottom w:val="single" w:sz="8" w:space="0" w:color="996633"/>
              <w:right w:val="single" w:sz="8" w:space="0" w:color="996633"/>
            </w:tcBorders>
            <w:tcMar>
              <w:top w:w="0" w:type="dxa"/>
              <w:left w:w="108" w:type="dxa"/>
              <w:bottom w:w="0" w:type="dxa"/>
              <w:right w:w="108" w:type="dxa"/>
            </w:tcMar>
            <w:hideMark/>
          </w:tcPr>
          <w:p w14:paraId="093EE322" w14:textId="77777777" w:rsidR="003A4FC5" w:rsidRPr="003A4FC5" w:rsidRDefault="003A4FC5" w:rsidP="003A4FC5">
            <w:pPr>
              <w:spacing w:after="0" w:line="240" w:lineRule="auto"/>
              <w:jc w:val="both"/>
              <w:rPr>
                <w:rFonts w:ascii="Calibri" w:eastAsia="Times New Roman" w:hAnsi="Calibri" w:cs="Calibri"/>
                <w:lang w:eastAsia="en-ZA"/>
              </w:rPr>
            </w:pPr>
            <w:r w:rsidRPr="003A4FC5">
              <w:rPr>
                <w:rFonts w:ascii="Arial" w:eastAsia="Times New Roman" w:hAnsi="Arial" w:cs="Arial"/>
                <w:lang w:eastAsia="en-ZA"/>
              </w:rPr>
              <w:t xml:space="preserve">Settlement agreement </w:t>
            </w:r>
          </w:p>
        </w:tc>
        <w:tc>
          <w:tcPr>
            <w:tcW w:w="2474" w:type="dxa"/>
            <w:tcBorders>
              <w:top w:val="nil"/>
              <w:left w:val="nil"/>
              <w:bottom w:val="single" w:sz="8" w:space="0" w:color="996633"/>
              <w:right w:val="single" w:sz="8" w:space="0" w:color="996633"/>
            </w:tcBorders>
            <w:tcMar>
              <w:top w:w="0" w:type="dxa"/>
              <w:left w:w="108" w:type="dxa"/>
              <w:bottom w:w="0" w:type="dxa"/>
              <w:right w:w="108" w:type="dxa"/>
            </w:tcMar>
            <w:hideMark/>
          </w:tcPr>
          <w:p w14:paraId="4C9C3A0F" w14:textId="77777777" w:rsidR="003A4FC5" w:rsidRPr="003A4FC5" w:rsidRDefault="003A4FC5" w:rsidP="003A4FC5">
            <w:pPr>
              <w:spacing w:after="0" w:line="240" w:lineRule="auto"/>
              <w:jc w:val="both"/>
              <w:rPr>
                <w:rFonts w:ascii="Calibri" w:eastAsia="Times New Roman" w:hAnsi="Calibri" w:cs="Calibri"/>
                <w:lang w:eastAsia="en-ZA"/>
              </w:rPr>
            </w:pPr>
            <w:r w:rsidRPr="003A4FC5">
              <w:rPr>
                <w:rFonts w:ascii="Arial" w:eastAsia="Times New Roman" w:hAnsi="Arial" w:cs="Arial"/>
                <w:color w:val="000000"/>
                <w:lang w:eastAsia="en-ZA"/>
              </w:rPr>
              <w:t>Competition Commission and Premium Brands Distributors (Pty) Ltd</w:t>
            </w:r>
          </w:p>
        </w:tc>
        <w:tc>
          <w:tcPr>
            <w:tcW w:w="2502" w:type="dxa"/>
            <w:tcBorders>
              <w:top w:val="nil"/>
              <w:left w:val="nil"/>
              <w:bottom w:val="single" w:sz="8" w:space="0" w:color="996633"/>
              <w:right w:val="single" w:sz="8" w:space="0" w:color="996633"/>
            </w:tcBorders>
            <w:tcMar>
              <w:top w:w="0" w:type="dxa"/>
              <w:left w:w="108" w:type="dxa"/>
              <w:bottom w:w="0" w:type="dxa"/>
              <w:right w:w="108" w:type="dxa"/>
            </w:tcMar>
            <w:hideMark/>
          </w:tcPr>
          <w:p w14:paraId="206C3FD2" w14:textId="77777777" w:rsidR="003A4FC5" w:rsidRPr="003A4FC5" w:rsidRDefault="003A4FC5" w:rsidP="003A4FC5">
            <w:pPr>
              <w:spacing w:after="0" w:line="240" w:lineRule="auto"/>
              <w:rPr>
                <w:rFonts w:ascii="Calibri" w:eastAsia="Times New Roman" w:hAnsi="Calibri" w:cs="Calibri"/>
                <w:lang w:eastAsia="en-ZA"/>
              </w:rPr>
            </w:pPr>
            <w:r w:rsidRPr="003A4FC5">
              <w:rPr>
                <w:rFonts w:ascii="Arial" w:eastAsia="Times New Roman" w:hAnsi="Arial" w:cs="Arial"/>
                <w:lang w:eastAsia="en-ZA"/>
              </w:rPr>
              <w:t>Confirm settlement agreement</w:t>
            </w:r>
          </w:p>
        </w:tc>
        <w:tc>
          <w:tcPr>
            <w:tcW w:w="1908" w:type="dxa"/>
            <w:tcBorders>
              <w:top w:val="nil"/>
              <w:left w:val="nil"/>
              <w:bottom w:val="single" w:sz="8" w:space="0" w:color="996633"/>
              <w:right w:val="single" w:sz="8" w:space="0" w:color="996633"/>
            </w:tcBorders>
            <w:tcMar>
              <w:top w:w="0" w:type="dxa"/>
              <w:left w:w="108" w:type="dxa"/>
              <w:bottom w:w="0" w:type="dxa"/>
              <w:right w:w="108" w:type="dxa"/>
            </w:tcMar>
            <w:hideMark/>
          </w:tcPr>
          <w:p w14:paraId="73D9241E" w14:textId="77777777" w:rsidR="003A4FC5" w:rsidRPr="003A4FC5" w:rsidRDefault="003A4FC5" w:rsidP="003A4FC5">
            <w:pPr>
              <w:spacing w:after="0" w:line="240" w:lineRule="auto"/>
              <w:rPr>
                <w:rFonts w:ascii="Calibri" w:eastAsia="Times New Roman" w:hAnsi="Calibri" w:cs="Calibri"/>
                <w:lang w:eastAsia="en-ZA"/>
              </w:rPr>
            </w:pPr>
            <w:r w:rsidRPr="003A4FC5">
              <w:rPr>
                <w:rFonts w:ascii="Arial" w:eastAsia="Times New Roman" w:hAnsi="Arial" w:cs="Arial"/>
                <w:lang w:eastAsia="en-ZA"/>
              </w:rPr>
              <w:t xml:space="preserve">Confirm settlement agreement </w:t>
            </w:r>
          </w:p>
        </w:tc>
      </w:tr>
    </w:tbl>
    <w:p w14:paraId="27C7BBAE" w14:textId="77777777" w:rsidR="003A4FC5" w:rsidRPr="003A4FC5" w:rsidRDefault="003A4FC5" w:rsidP="003A4FC5">
      <w:pPr>
        <w:spacing w:after="0" w:line="240" w:lineRule="auto"/>
        <w:jc w:val="both"/>
        <w:rPr>
          <w:rFonts w:ascii="Calibri" w:eastAsia="Times New Roman" w:hAnsi="Calibri" w:cs="Calibri"/>
          <w:color w:val="000000"/>
          <w:lang w:val="en-US" w:eastAsia="en-ZA"/>
        </w:rPr>
      </w:pPr>
      <w:r w:rsidRPr="003A4FC5">
        <w:rPr>
          <w:rFonts w:ascii="Arial" w:eastAsia="Times New Roman" w:hAnsi="Arial" w:cs="Arial"/>
          <w:b/>
          <w:bCs/>
          <w:color w:val="000000"/>
          <w:lang w:eastAsia="en-ZA"/>
        </w:rPr>
        <w:t> </w:t>
      </w:r>
    </w:p>
    <w:p w14:paraId="3477CF2A" w14:textId="77777777" w:rsidR="003A4FC5" w:rsidRPr="003A4FC5" w:rsidRDefault="003A4FC5" w:rsidP="003A4FC5">
      <w:pPr>
        <w:spacing w:after="0" w:line="240" w:lineRule="auto"/>
        <w:ind w:left="227" w:right="340"/>
        <w:jc w:val="both"/>
        <w:rPr>
          <w:rFonts w:ascii="Calibri" w:eastAsia="Times New Roman" w:hAnsi="Calibri" w:cs="Calibri"/>
          <w:color w:val="000000"/>
          <w:lang w:val="en-US" w:eastAsia="en-ZA"/>
        </w:rPr>
      </w:pPr>
      <w:r w:rsidRPr="003A4FC5">
        <w:rPr>
          <w:rFonts w:ascii="Arial" w:eastAsia="Times New Roman" w:hAnsi="Arial" w:cs="Arial"/>
          <w:color w:val="000000"/>
          <w:lang w:val="en-US" w:eastAsia="en-ZA"/>
        </w:rPr>
        <w:t xml:space="preserve">The Competition Tribunal on Wednesday confirmed a consent order and a settlement agreement </w:t>
      </w:r>
      <w:proofErr w:type="gramStart"/>
      <w:r w:rsidRPr="003A4FC5">
        <w:rPr>
          <w:rFonts w:ascii="Arial" w:eastAsia="Times New Roman" w:hAnsi="Arial" w:cs="Arial"/>
          <w:color w:val="000000"/>
          <w:lang w:val="en-US" w:eastAsia="en-ZA"/>
        </w:rPr>
        <w:t>with regard to</w:t>
      </w:r>
      <w:proofErr w:type="gramEnd"/>
      <w:r w:rsidRPr="003A4FC5">
        <w:rPr>
          <w:rFonts w:ascii="Arial" w:eastAsia="Times New Roman" w:hAnsi="Arial" w:cs="Arial"/>
          <w:color w:val="000000"/>
          <w:lang w:val="en-US" w:eastAsia="en-ZA"/>
        </w:rPr>
        <w:t xml:space="preserve"> two cases involving Section 5 contraventions of the Competition Act. This section that prohibits conduct arising out of the interaction between a firm and its customers or suppliers. </w:t>
      </w:r>
    </w:p>
    <w:p w14:paraId="735346A3" w14:textId="77777777" w:rsidR="003A4FC5" w:rsidRPr="003A4FC5" w:rsidRDefault="003A4FC5" w:rsidP="003A4FC5">
      <w:pPr>
        <w:spacing w:after="0" w:line="240" w:lineRule="auto"/>
        <w:ind w:left="227" w:right="340"/>
        <w:jc w:val="both"/>
        <w:rPr>
          <w:rFonts w:ascii="Calibri" w:eastAsia="Times New Roman" w:hAnsi="Calibri" w:cs="Calibri"/>
          <w:color w:val="000000"/>
          <w:lang w:val="en-US" w:eastAsia="en-ZA"/>
        </w:rPr>
      </w:pPr>
      <w:r w:rsidRPr="003A4FC5">
        <w:rPr>
          <w:rFonts w:ascii="Arial" w:eastAsia="Times New Roman" w:hAnsi="Arial" w:cs="Arial"/>
          <w:color w:val="000000"/>
          <w:lang w:val="en-US" w:eastAsia="en-ZA"/>
        </w:rPr>
        <w:t> </w:t>
      </w:r>
    </w:p>
    <w:p w14:paraId="5CC9C6E3" w14:textId="77777777" w:rsidR="003A4FC5" w:rsidRPr="003A4FC5" w:rsidRDefault="003A4FC5" w:rsidP="003A4FC5">
      <w:pPr>
        <w:spacing w:after="0" w:line="240" w:lineRule="auto"/>
        <w:ind w:left="227" w:right="340"/>
        <w:jc w:val="both"/>
        <w:rPr>
          <w:rFonts w:ascii="Calibri" w:eastAsia="Times New Roman" w:hAnsi="Calibri" w:cs="Calibri"/>
          <w:color w:val="000000"/>
          <w:lang w:val="en-US" w:eastAsia="en-ZA"/>
        </w:rPr>
      </w:pPr>
      <w:r w:rsidRPr="003A4FC5">
        <w:rPr>
          <w:rFonts w:ascii="Arial" w:eastAsia="Times New Roman" w:hAnsi="Arial" w:cs="Arial"/>
          <w:color w:val="000000"/>
          <w:lang w:val="en-US" w:eastAsia="en-ZA"/>
        </w:rPr>
        <w:t xml:space="preserve">This prohibited practice was identified in both the Competition Commission and </w:t>
      </w:r>
      <w:proofErr w:type="spellStart"/>
      <w:r w:rsidRPr="003A4FC5">
        <w:rPr>
          <w:rFonts w:ascii="Arial" w:eastAsia="Times New Roman" w:hAnsi="Arial" w:cs="Arial"/>
          <w:color w:val="000000"/>
          <w:lang w:val="en-US" w:eastAsia="en-ZA"/>
        </w:rPr>
        <w:t>Pelchem</w:t>
      </w:r>
      <w:proofErr w:type="spellEnd"/>
      <w:r w:rsidRPr="003A4FC5">
        <w:rPr>
          <w:rFonts w:ascii="Arial" w:eastAsia="Times New Roman" w:hAnsi="Arial" w:cs="Arial"/>
          <w:color w:val="000000"/>
          <w:lang w:val="en-US" w:eastAsia="en-ZA"/>
        </w:rPr>
        <w:t xml:space="preserve"> and the Competition Commission Premium Brands Distributors matters before the Tribunal. </w:t>
      </w:r>
    </w:p>
    <w:p w14:paraId="43DFCD0E" w14:textId="77777777" w:rsidR="003A4FC5" w:rsidRPr="003A4FC5" w:rsidRDefault="003A4FC5" w:rsidP="003A4FC5">
      <w:pPr>
        <w:spacing w:after="0" w:line="240" w:lineRule="auto"/>
        <w:ind w:left="227" w:right="340"/>
        <w:jc w:val="both"/>
        <w:rPr>
          <w:rFonts w:ascii="Calibri" w:eastAsia="Times New Roman" w:hAnsi="Calibri" w:cs="Calibri"/>
          <w:color w:val="000000"/>
          <w:lang w:val="en-US" w:eastAsia="en-ZA"/>
        </w:rPr>
      </w:pPr>
      <w:r w:rsidRPr="003A4FC5">
        <w:rPr>
          <w:rFonts w:ascii="Arial" w:eastAsia="Times New Roman" w:hAnsi="Arial" w:cs="Arial"/>
          <w:color w:val="000000"/>
          <w:lang w:val="en-US" w:eastAsia="en-ZA"/>
        </w:rPr>
        <w:t> </w:t>
      </w:r>
    </w:p>
    <w:p w14:paraId="7BCA5CB6" w14:textId="77777777" w:rsidR="003A4FC5" w:rsidRPr="003A4FC5" w:rsidRDefault="003A4FC5" w:rsidP="003A4FC5">
      <w:pPr>
        <w:spacing w:after="0" w:line="240" w:lineRule="auto"/>
        <w:ind w:left="227" w:right="340"/>
        <w:jc w:val="both"/>
        <w:rPr>
          <w:rFonts w:ascii="Calibri" w:eastAsia="Times New Roman" w:hAnsi="Calibri" w:cs="Calibri"/>
          <w:color w:val="000000"/>
          <w:lang w:val="en-US" w:eastAsia="en-ZA"/>
        </w:rPr>
      </w:pPr>
      <w:proofErr w:type="gramStart"/>
      <w:r w:rsidRPr="003A4FC5">
        <w:rPr>
          <w:rFonts w:ascii="Arial" w:eastAsia="Times New Roman" w:hAnsi="Arial" w:cs="Arial"/>
          <w:color w:val="000000"/>
          <w:lang w:val="en-US" w:eastAsia="en-ZA"/>
        </w:rPr>
        <w:t>The majority of</w:t>
      </w:r>
      <w:proofErr w:type="gramEnd"/>
      <w:r w:rsidRPr="003A4FC5">
        <w:rPr>
          <w:rFonts w:ascii="Arial" w:eastAsia="Times New Roman" w:hAnsi="Arial" w:cs="Arial"/>
          <w:color w:val="000000"/>
          <w:lang w:val="en-US" w:eastAsia="en-ZA"/>
        </w:rPr>
        <w:t xml:space="preserve"> settlements before the Tribunal involve Section 4 contraventions, which prohibits conduct arising out of an </w:t>
      </w:r>
      <w:r w:rsidRPr="003A4FC5">
        <w:rPr>
          <w:rFonts w:ascii="Calibri" w:eastAsia="Times New Roman" w:hAnsi="Calibri" w:cs="Calibri"/>
          <w:color w:val="000000"/>
          <w:lang w:val="en-US" w:eastAsia="en-ZA"/>
        </w:rPr>
        <w:t>agreement between, or concerted practice by, firms who compete against each other.</w:t>
      </w:r>
    </w:p>
    <w:p w14:paraId="1D53AF06" w14:textId="77777777" w:rsidR="003A4FC5" w:rsidRPr="003A4FC5" w:rsidRDefault="003A4FC5" w:rsidP="003A4FC5">
      <w:pPr>
        <w:spacing w:after="0" w:line="240" w:lineRule="auto"/>
        <w:ind w:left="227" w:right="340"/>
        <w:jc w:val="both"/>
        <w:rPr>
          <w:rFonts w:ascii="Calibri" w:eastAsia="Times New Roman" w:hAnsi="Calibri" w:cs="Calibri"/>
          <w:color w:val="000000"/>
          <w:lang w:val="en-US" w:eastAsia="en-ZA"/>
        </w:rPr>
      </w:pPr>
      <w:r w:rsidRPr="003A4FC5">
        <w:rPr>
          <w:rFonts w:ascii="Arial" w:eastAsia="Times New Roman" w:hAnsi="Arial" w:cs="Arial"/>
          <w:color w:val="000000"/>
          <w:lang w:val="en-US" w:eastAsia="en-ZA"/>
        </w:rPr>
        <w:t> </w:t>
      </w:r>
    </w:p>
    <w:p w14:paraId="2E6E4B3A" w14:textId="77777777" w:rsidR="003A4FC5" w:rsidRPr="003A4FC5" w:rsidRDefault="003A4FC5" w:rsidP="003A4FC5">
      <w:pPr>
        <w:spacing w:after="0" w:line="240" w:lineRule="auto"/>
        <w:ind w:left="227" w:right="340"/>
        <w:jc w:val="both"/>
        <w:rPr>
          <w:rFonts w:ascii="Calibri" w:eastAsia="Times New Roman" w:hAnsi="Calibri" w:cs="Calibri"/>
          <w:color w:val="000000"/>
          <w:lang w:val="en-US" w:eastAsia="en-ZA"/>
        </w:rPr>
      </w:pPr>
      <w:r w:rsidRPr="003A4FC5">
        <w:rPr>
          <w:rFonts w:ascii="Arial" w:eastAsia="Times New Roman" w:hAnsi="Arial" w:cs="Arial"/>
          <w:b/>
          <w:bCs/>
          <w:color w:val="000000"/>
          <w:lang w:val="en-US" w:eastAsia="en-ZA"/>
        </w:rPr>
        <w:t xml:space="preserve">The </w:t>
      </w:r>
      <w:proofErr w:type="spellStart"/>
      <w:r w:rsidRPr="003A4FC5">
        <w:rPr>
          <w:rFonts w:ascii="Arial" w:eastAsia="Times New Roman" w:hAnsi="Arial" w:cs="Arial"/>
          <w:b/>
          <w:bCs/>
          <w:color w:val="000000"/>
          <w:lang w:val="en-US" w:eastAsia="en-ZA"/>
        </w:rPr>
        <w:t>Pelchem</w:t>
      </w:r>
      <w:proofErr w:type="spellEnd"/>
      <w:r w:rsidRPr="003A4FC5">
        <w:rPr>
          <w:rFonts w:ascii="Arial" w:eastAsia="Times New Roman" w:hAnsi="Arial" w:cs="Arial"/>
          <w:b/>
          <w:bCs/>
          <w:color w:val="000000"/>
          <w:lang w:val="en-US" w:eastAsia="en-ZA"/>
        </w:rPr>
        <w:t xml:space="preserve"> case involved an abuse of dominance charge </w:t>
      </w:r>
    </w:p>
    <w:p w14:paraId="5848C5F0" w14:textId="77777777" w:rsidR="003A4FC5" w:rsidRPr="003A4FC5" w:rsidRDefault="003A4FC5" w:rsidP="003A4FC5">
      <w:pPr>
        <w:spacing w:after="0" w:line="240" w:lineRule="auto"/>
        <w:ind w:left="227" w:right="340"/>
        <w:jc w:val="both"/>
        <w:rPr>
          <w:rFonts w:ascii="Calibri" w:eastAsia="Times New Roman" w:hAnsi="Calibri" w:cs="Calibri"/>
          <w:color w:val="000000"/>
          <w:lang w:val="en-US" w:eastAsia="en-ZA"/>
        </w:rPr>
      </w:pPr>
      <w:r w:rsidRPr="003A4FC5">
        <w:rPr>
          <w:rFonts w:ascii="Arial" w:eastAsia="Times New Roman" w:hAnsi="Arial" w:cs="Arial"/>
          <w:color w:val="000000"/>
          <w:lang w:val="en-US" w:eastAsia="en-ZA"/>
        </w:rPr>
        <w:t> </w:t>
      </w:r>
    </w:p>
    <w:p w14:paraId="7ADE682B" w14:textId="77777777" w:rsidR="003A4FC5" w:rsidRPr="003A4FC5" w:rsidRDefault="003A4FC5" w:rsidP="003A4FC5">
      <w:pPr>
        <w:spacing w:after="0" w:line="240" w:lineRule="auto"/>
        <w:ind w:left="227" w:right="340"/>
        <w:jc w:val="both"/>
        <w:rPr>
          <w:rFonts w:ascii="Calibri" w:eastAsia="Times New Roman" w:hAnsi="Calibri" w:cs="Calibri"/>
          <w:color w:val="000000"/>
          <w:lang w:val="en-US" w:eastAsia="en-ZA"/>
        </w:rPr>
      </w:pPr>
      <w:r w:rsidRPr="003A4FC5">
        <w:rPr>
          <w:rFonts w:ascii="Arial" w:eastAsia="Times New Roman" w:hAnsi="Arial" w:cs="Arial"/>
          <w:color w:val="000000"/>
          <w:lang w:val="en-US" w:eastAsia="en-ZA"/>
        </w:rPr>
        <w:t xml:space="preserve">The Commission received the complaint on 18 December 2013 from competitor </w:t>
      </w:r>
      <w:proofErr w:type="spellStart"/>
      <w:r w:rsidRPr="003A4FC5">
        <w:rPr>
          <w:rFonts w:ascii="Arial" w:eastAsia="Times New Roman" w:hAnsi="Arial" w:cs="Arial"/>
          <w:color w:val="000000"/>
          <w:lang w:val="en-US" w:eastAsia="en-ZA"/>
        </w:rPr>
        <w:t>Colvic</w:t>
      </w:r>
      <w:proofErr w:type="spellEnd"/>
      <w:r w:rsidRPr="003A4FC5">
        <w:rPr>
          <w:rFonts w:ascii="Arial" w:eastAsia="Times New Roman" w:hAnsi="Arial" w:cs="Arial"/>
          <w:color w:val="000000"/>
          <w:lang w:val="en-US" w:eastAsia="en-ZA"/>
        </w:rPr>
        <w:t xml:space="preserve">, a company active in </w:t>
      </w:r>
      <w:r w:rsidRPr="003A4FC5">
        <w:rPr>
          <w:rFonts w:ascii="Arial" w:eastAsia="Times New Roman" w:hAnsi="Arial" w:cs="Arial"/>
          <w:color w:val="000000"/>
          <w:shd w:val="clear" w:color="auto" w:fill="FFFFFF"/>
          <w:lang w:val="en-US" w:eastAsia="en-ZA"/>
        </w:rPr>
        <w:t xml:space="preserve">fuel storage, management and environmental protection solutions, that </w:t>
      </w:r>
      <w:proofErr w:type="spellStart"/>
      <w:r w:rsidRPr="003A4FC5">
        <w:rPr>
          <w:rFonts w:ascii="Arial" w:eastAsia="Times New Roman" w:hAnsi="Arial" w:cs="Arial"/>
          <w:color w:val="000000"/>
          <w:shd w:val="clear" w:color="auto" w:fill="FFFFFF"/>
          <w:lang w:val="en-US" w:eastAsia="en-ZA"/>
        </w:rPr>
        <w:t>Pelchem</w:t>
      </w:r>
      <w:proofErr w:type="spellEnd"/>
      <w:r w:rsidRPr="003A4FC5">
        <w:rPr>
          <w:rFonts w:ascii="Arial" w:eastAsia="Times New Roman" w:hAnsi="Arial" w:cs="Arial"/>
          <w:color w:val="000000"/>
          <w:shd w:val="clear" w:color="auto" w:fill="FFFFFF"/>
          <w:lang w:val="en-US" w:eastAsia="en-ZA"/>
        </w:rPr>
        <w:t xml:space="preserve">, the sole supplier of fluorination services in South Africa, and Marley had entered into a Joint Development Agreement. In terms of the agreement </w:t>
      </w:r>
      <w:proofErr w:type="spellStart"/>
      <w:r w:rsidRPr="003A4FC5">
        <w:rPr>
          <w:rFonts w:ascii="Arial" w:eastAsia="Times New Roman" w:hAnsi="Arial" w:cs="Arial"/>
          <w:color w:val="000000"/>
          <w:shd w:val="clear" w:color="auto" w:fill="FFFFFF"/>
          <w:lang w:val="en-US" w:eastAsia="en-ZA"/>
        </w:rPr>
        <w:t>Pelchem</w:t>
      </w:r>
      <w:proofErr w:type="spellEnd"/>
      <w:r w:rsidRPr="003A4FC5">
        <w:rPr>
          <w:rFonts w:ascii="Arial" w:eastAsia="Times New Roman" w:hAnsi="Arial" w:cs="Arial"/>
          <w:color w:val="000000"/>
          <w:shd w:val="clear" w:color="auto" w:fill="FFFFFF"/>
          <w:lang w:val="en-US" w:eastAsia="en-ZA"/>
        </w:rPr>
        <w:t xml:space="preserve"> is required to only surface fluorinate Marley’s HDPE fuel pipes in South Africa.  </w:t>
      </w:r>
    </w:p>
    <w:p w14:paraId="414F2D9C" w14:textId="77777777" w:rsidR="003A4FC5" w:rsidRPr="003A4FC5" w:rsidRDefault="003A4FC5" w:rsidP="003A4FC5">
      <w:pPr>
        <w:spacing w:after="0" w:line="240" w:lineRule="auto"/>
        <w:ind w:left="227" w:right="340"/>
        <w:jc w:val="both"/>
        <w:rPr>
          <w:rFonts w:ascii="Calibri" w:eastAsia="Times New Roman" w:hAnsi="Calibri" w:cs="Calibri"/>
          <w:color w:val="000000"/>
          <w:lang w:val="en-US" w:eastAsia="en-ZA"/>
        </w:rPr>
      </w:pPr>
      <w:r w:rsidRPr="003A4FC5">
        <w:rPr>
          <w:rFonts w:ascii="Arial" w:eastAsia="Times New Roman" w:hAnsi="Arial" w:cs="Arial"/>
          <w:color w:val="000000"/>
          <w:lang w:val="en-US" w:eastAsia="en-ZA"/>
        </w:rPr>
        <w:t> </w:t>
      </w:r>
    </w:p>
    <w:p w14:paraId="15959A68" w14:textId="77777777" w:rsidR="003A4FC5" w:rsidRPr="003A4FC5" w:rsidRDefault="003A4FC5" w:rsidP="003A4FC5">
      <w:pPr>
        <w:spacing w:after="0" w:line="240" w:lineRule="auto"/>
        <w:ind w:left="227" w:right="340"/>
        <w:jc w:val="both"/>
        <w:rPr>
          <w:rFonts w:ascii="Calibri" w:eastAsia="Times New Roman" w:hAnsi="Calibri" w:cs="Calibri"/>
          <w:color w:val="000000"/>
          <w:lang w:val="en-US" w:eastAsia="en-ZA"/>
        </w:rPr>
      </w:pPr>
      <w:proofErr w:type="spellStart"/>
      <w:r w:rsidRPr="003A4FC5">
        <w:rPr>
          <w:rFonts w:ascii="Arial" w:eastAsia="Times New Roman" w:hAnsi="Arial" w:cs="Arial"/>
          <w:color w:val="000000"/>
          <w:shd w:val="clear" w:color="auto" w:fill="FFFFFF"/>
          <w:lang w:val="en-US" w:eastAsia="en-ZA"/>
        </w:rPr>
        <w:t>Colvic</w:t>
      </w:r>
      <w:proofErr w:type="spellEnd"/>
      <w:r w:rsidRPr="003A4FC5">
        <w:rPr>
          <w:rFonts w:ascii="Arial" w:eastAsia="Times New Roman" w:hAnsi="Arial" w:cs="Arial"/>
          <w:color w:val="000000"/>
          <w:shd w:val="clear" w:color="auto" w:fill="FFFFFF"/>
          <w:lang w:val="en-US" w:eastAsia="en-ZA"/>
        </w:rPr>
        <w:t xml:space="preserve"> said the agreements made it impossible for it to supply in that market. </w:t>
      </w:r>
    </w:p>
    <w:p w14:paraId="27514E5E" w14:textId="77777777" w:rsidR="003A4FC5" w:rsidRPr="003A4FC5" w:rsidRDefault="003A4FC5" w:rsidP="003A4FC5">
      <w:pPr>
        <w:spacing w:after="0" w:line="240" w:lineRule="auto"/>
        <w:ind w:left="227" w:right="340"/>
        <w:jc w:val="both"/>
        <w:rPr>
          <w:rFonts w:ascii="Calibri" w:eastAsia="Times New Roman" w:hAnsi="Calibri" w:cs="Calibri"/>
          <w:color w:val="000000"/>
          <w:lang w:val="en-US" w:eastAsia="en-ZA"/>
        </w:rPr>
      </w:pPr>
      <w:r w:rsidRPr="003A4FC5">
        <w:rPr>
          <w:rFonts w:ascii="Arial" w:eastAsia="Times New Roman" w:hAnsi="Arial" w:cs="Arial"/>
          <w:color w:val="000000"/>
          <w:shd w:val="clear" w:color="auto" w:fill="FFFFFF"/>
          <w:lang w:val="en-US" w:eastAsia="en-ZA"/>
        </w:rPr>
        <w:t> </w:t>
      </w:r>
    </w:p>
    <w:p w14:paraId="753823AB" w14:textId="77777777" w:rsidR="003A4FC5" w:rsidRPr="003A4FC5" w:rsidRDefault="003A4FC5" w:rsidP="003A4FC5">
      <w:pPr>
        <w:spacing w:after="0" w:line="240" w:lineRule="auto"/>
        <w:ind w:left="227" w:right="340"/>
        <w:jc w:val="both"/>
        <w:rPr>
          <w:rFonts w:ascii="Calibri" w:eastAsia="Times New Roman" w:hAnsi="Calibri" w:cs="Calibri"/>
          <w:color w:val="000000"/>
          <w:lang w:val="en-US" w:eastAsia="en-ZA"/>
        </w:rPr>
      </w:pPr>
      <w:r w:rsidRPr="003A4FC5">
        <w:rPr>
          <w:rFonts w:ascii="Arial" w:eastAsia="Times New Roman" w:hAnsi="Arial" w:cs="Arial"/>
          <w:color w:val="000000"/>
          <w:shd w:val="clear" w:color="auto" w:fill="FFFFFF"/>
          <w:lang w:val="en-US" w:eastAsia="en-ZA"/>
        </w:rPr>
        <w:t xml:space="preserve">Offenders of Section 5 (1) and 8 (c) do not get </w:t>
      </w:r>
      <w:proofErr w:type="spellStart"/>
      <w:r w:rsidRPr="003A4FC5">
        <w:rPr>
          <w:rFonts w:ascii="Arial" w:eastAsia="Times New Roman" w:hAnsi="Arial" w:cs="Arial"/>
          <w:color w:val="000000"/>
          <w:shd w:val="clear" w:color="auto" w:fill="FFFFFF"/>
          <w:lang w:val="en-US" w:eastAsia="en-ZA"/>
        </w:rPr>
        <w:t>penalised</w:t>
      </w:r>
      <w:proofErr w:type="spellEnd"/>
      <w:r w:rsidRPr="003A4FC5">
        <w:rPr>
          <w:rFonts w:ascii="Arial" w:eastAsia="Times New Roman" w:hAnsi="Arial" w:cs="Arial"/>
          <w:color w:val="000000"/>
          <w:shd w:val="clear" w:color="auto" w:fill="FFFFFF"/>
          <w:lang w:val="en-US" w:eastAsia="en-ZA"/>
        </w:rPr>
        <w:t xml:space="preserve"> for first time contraventions. </w:t>
      </w:r>
    </w:p>
    <w:p w14:paraId="05BD47D1" w14:textId="77777777" w:rsidR="003A4FC5" w:rsidRPr="003A4FC5" w:rsidRDefault="003A4FC5" w:rsidP="003A4FC5">
      <w:pPr>
        <w:spacing w:after="0" w:line="240" w:lineRule="auto"/>
        <w:ind w:left="227" w:right="340"/>
        <w:jc w:val="both"/>
        <w:rPr>
          <w:rFonts w:ascii="Calibri" w:eastAsia="Times New Roman" w:hAnsi="Calibri" w:cs="Calibri"/>
          <w:color w:val="000000"/>
          <w:lang w:val="en-US" w:eastAsia="en-ZA"/>
        </w:rPr>
      </w:pPr>
      <w:r w:rsidRPr="003A4FC5">
        <w:rPr>
          <w:rFonts w:ascii="Arial" w:eastAsia="Times New Roman" w:hAnsi="Arial" w:cs="Arial"/>
          <w:color w:val="000000"/>
          <w:shd w:val="clear" w:color="auto" w:fill="FFFFFF"/>
          <w:lang w:val="en-US" w:eastAsia="en-ZA"/>
        </w:rPr>
        <w:t> </w:t>
      </w:r>
    </w:p>
    <w:p w14:paraId="4978D798" w14:textId="77777777" w:rsidR="003A4FC5" w:rsidRPr="003A4FC5" w:rsidRDefault="003A4FC5" w:rsidP="003A4FC5">
      <w:pPr>
        <w:spacing w:after="0" w:line="240" w:lineRule="auto"/>
        <w:ind w:left="227" w:right="340"/>
        <w:jc w:val="both"/>
        <w:rPr>
          <w:rFonts w:ascii="Calibri" w:eastAsia="Times New Roman" w:hAnsi="Calibri" w:cs="Calibri"/>
          <w:color w:val="000000"/>
          <w:lang w:val="en-US" w:eastAsia="en-ZA"/>
        </w:rPr>
      </w:pPr>
      <w:r w:rsidRPr="003A4FC5">
        <w:rPr>
          <w:rFonts w:ascii="Arial" w:eastAsia="Times New Roman" w:hAnsi="Arial" w:cs="Arial"/>
          <w:color w:val="000000"/>
          <w:shd w:val="clear" w:color="auto" w:fill="FFFFFF"/>
          <w:lang w:val="en-US" w:eastAsia="en-ZA"/>
        </w:rPr>
        <w:t xml:space="preserve">Instead, </w:t>
      </w:r>
      <w:proofErr w:type="spellStart"/>
      <w:r w:rsidRPr="003A4FC5">
        <w:rPr>
          <w:rFonts w:ascii="Arial" w:eastAsia="Times New Roman" w:hAnsi="Arial" w:cs="Arial"/>
          <w:color w:val="000000"/>
          <w:shd w:val="clear" w:color="auto" w:fill="FFFFFF"/>
          <w:lang w:val="en-US" w:eastAsia="en-ZA"/>
        </w:rPr>
        <w:t>Pelchem</w:t>
      </w:r>
      <w:proofErr w:type="spellEnd"/>
      <w:r w:rsidRPr="003A4FC5">
        <w:rPr>
          <w:rFonts w:ascii="Arial" w:eastAsia="Times New Roman" w:hAnsi="Arial" w:cs="Arial"/>
          <w:color w:val="000000"/>
          <w:shd w:val="clear" w:color="auto" w:fill="FFFFFF"/>
          <w:lang w:val="en-US" w:eastAsia="en-ZA"/>
        </w:rPr>
        <w:t xml:space="preserve"> has undertaken to remove the clauses pertaining to exclusivity and evergreen duration from its existing JDA in respect </w:t>
      </w:r>
      <w:proofErr w:type="gramStart"/>
      <w:r w:rsidRPr="003A4FC5">
        <w:rPr>
          <w:rFonts w:ascii="Arial" w:eastAsia="Times New Roman" w:hAnsi="Arial" w:cs="Arial"/>
          <w:color w:val="000000"/>
          <w:shd w:val="clear" w:color="auto" w:fill="FFFFFF"/>
          <w:lang w:val="en-US" w:eastAsia="en-ZA"/>
        </w:rPr>
        <w:t>of:</w:t>
      </w:r>
      <w:proofErr w:type="gramEnd"/>
      <w:r w:rsidRPr="003A4FC5">
        <w:rPr>
          <w:rFonts w:ascii="Arial" w:eastAsia="Times New Roman" w:hAnsi="Arial" w:cs="Arial"/>
          <w:color w:val="000000"/>
          <w:shd w:val="clear" w:color="auto" w:fill="FFFFFF"/>
          <w:lang w:val="en-US" w:eastAsia="en-ZA"/>
        </w:rPr>
        <w:t xml:space="preserve"> HDPE and PP pails/buckets and electric cables. </w:t>
      </w:r>
      <w:proofErr w:type="spellStart"/>
      <w:r w:rsidRPr="003A4FC5">
        <w:rPr>
          <w:rFonts w:ascii="Arial" w:eastAsia="Times New Roman" w:hAnsi="Arial" w:cs="Arial"/>
          <w:color w:val="000000"/>
          <w:shd w:val="clear" w:color="auto" w:fill="FFFFFF"/>
          <w:lang w:val="en-US" w:eastAsia="en-ZA"/>
        </w:rPr>
        <w:t>Pelchem</w:t>
      </w:r>
      <w:proofErr w:type="spellEnd"/>
      <w:r w:rsidRPr="003A4FC5">
        <w:rPr>
          <w:rFonts w:ascii="Arial" w:eastAsia="Times New Roman" w:hAnsi="Arial" w:cs="Arial"/>
          <w:color w:val="000000"/>
          <w:shd w:val="clear" w:color="auto" w:fill="FFFFFF"/>
          <w:lang w:val="en-US" w:eastAsia="en-ZA"/>
        </w:rPr>
        <w:t xml:space="preserve"> has also undertaken not to enter into exclusive supply agreements for the provision of surface fluorination services for including but not limited to HDPE and PP pails/buckets and electric cables.</w:t>
      </w:r>
    </w:p>
    <w:p w14:paraId="3BF3C4AD" w14:textId="77777777" w:rsidR="003A4FC5" w:rsidRPr="003A4FC5" w:rsidRDefault="003A4FC5" w:rsidP="003A4FC5">
      <w:pPr>
        <w:spacing w:after="0" w:line="240" w:lineRule="auto"/>
        <w:ind w:left="227" w:right="340"/>
        <w:jc w:val="both"/>
        <w:rPr>
          <w:rFonts w:ascii="Calibri" w:eastAsia="Times New Roman" w:hAnsi="Calibri" w:cs="Calibri"/>
          <w:color w:val="000000"/>
          <w:lang w:val="en-US" w:eastAsia="en-ZA"/>
        </w:rPr>
      </w:pPr>
      <w:r w:rsidRPr="003A4FC5">
        <w:rPr>
          <w:rFonts w:ascii="Arial" w:eastAsia="Times New Roman" w:hAnsi="Arial" w:cs="Arial"/>
          <w:color w:val="000000"/>
          <w:shd w:val="clear" w:color="auto" w:fill="FFFFFF"/>
          <w:lang w:val="en-US" w:eastAsia="en-ZA"/>
        </w:rPr>
        <w:t> </w:t>
      </w:r>
    </w:p>
    <w:p w14:paraId="11CCEE40" w14:textId="77777777" w:rsidR="003A4FC5" w:rsidRPr="003A4FC5" w:rsidRDefault="003A4FC5" w:rsidP="003A4FC5">
      <w:pPr>
        <w:spacing w:after="0" w:line="240" w:lineRule="auto"/>
        <w:ind w:left="227" w:right="340"/>
        <w:jc w:val="both"/>
        <w:rPr>
          <w:rFonts w:ascii="Calibri" w:eastAsia="Times New Roman" w:hAnsi="Calibri" w:cs="Calibri"/>
          <w:color w:val="000000"/>
          <w:lang w:val="en-US" w:eastAsia="en-ZA"/>
        </w:rPr>
      </w:pPr>
      <w:r w:rsidRPr="003A4FC5">
        <w:rPr>
          <w:rFonts w:ascii="Arial" w:eastAsia="Times New Roman" w:hAnsi="Arial" w:cs="Arial"/>
          <w:color w:val="000000"/>
          <w:shd w:val="clear" w:color="auto" w:fill="FFFFFF"/>
          <w:lang w:val="en-US" w:eastAsia="en-ZA"/>
        </w:rPr>
        <w:t> </w:t>
      </w:r>
    </w:p>
    <w:p w14:paraId="7DDCD913" w14:textId="77777777" w:rsidR="003A4FC5" w:rsidRPr="003A4FC5" w:rsidRDefault="003A4FC5" w:rsidP="003A4FC5">
      <w:pPr>
        <w:spacing w:after="0" w:line="240" w:lineRule="auto"/>
        <w:ind w:left="227" w:right="340"/>
        <w:jc w:val="both"/>
        <w:rPr>
          <w:rFonts w:ascii="Calibri" w:eastAsia="Times New Roman" w:hAnsi="Calibri" w:cs="Calibri"/>
          <w:color w:val="000000"/>
          <w:lang w:val="en-US" w:eastAsia="en-ZA"/>
        </w:rPr>
      </w:pPr>
      <w:r w:rsidRPr="003A4FC5">
        <w:rPr>
          <w:rFonts w:ascii="Arial" w:eastAsia="Times New Roman" w:hAnsi="Arial" w:cs="Arial"/>
          <w:b/>
          <w:bCs/>
          <w:color w:val="000000"/>
          <w:shd w:val="clear" w:color="auto" w:fill="FFFFFF"/>
          <w:lang w:val="en-US" w:eastAsia="en-ZA"/>
        </w:rPr>
        <w:t xml:space="preserve">Premium brand has agreed not to engage in minimum price retail engagement </w:t>
      </w:r>
    </w:p>
    <w:p w14:paraId="1C80A737" w14:textId="77777777" w:rsidR="003A4FC5" w:rsidRPr="003A4FC5" w:rsidRDefault="003A4FC5" w:rsidP="003A4FC5">
      <w:pPr>
        <w:spacing w:after="0" w:line="240" w:lineRule="auto"/>
        <w:ind w:left="227" w:right="340"/>
        <w:jc w:val="both"/>
        <w:rPr>
          <w:rFonts w:ascii="Calibri" w:eastAsia="Times New Roman" w:hAnsi="Calibri" w:cs="Calibri"/>
          <w:color w:val="000000"/>
          <w:lang w:val="en-US" w:eastAsia="en-ZA"/>
        </w:rPr>
      </w:pPr>
      <w:r w:rsidRPr="003A4FC5">
        <w:rPr>
          <w:rFonts w:ascii="Arial" w:eastAsia="Times New Roman" w:hAnsi="Arial" w:cs="Arial"/>
          <w:color w:val="000000"/>
          <w:shd w:val="clear" w:color="auto" w:fill="FFFFFF"/>
          <w:lang w:val="en-US" w:eastAsia="en-ZA"/>
        </w:rPr>
        <w:t> </w:t>
      </w:r>
    </w:p>
    <w:p w14:paraId="0E9B9F75" w14:textId="77777777" w:rsidR="003A4FC5" w:rsidRPr="003A4FC5" w:rsidRDefault="003A4FC5" w:rsidP="003A4FC5">
      <w:pPr>
        <w:spacing w:after="0" w:line="240" w:lineRule="auto"/>
        <w:ind w:left="227" w:right="340"/>
        <w:jc w:val="both"/>
        <w:rPr>
          <w:rFonts w:ascii="Calibri" w:eastAsia="Times New Roman" w:hAnsi="Calibri" w:cs="Calibri"/>
          <w:color w:val="000000"/>
          <w:lang w:val="en-US" w:eastAsia="en-ZA"/>
        </w:rPr>
      </w:pPr>
      <w:r w:rsidRPr="003A4FC5">
        <w:rPr>
          <w:rFonts w:ascii="Arial" w:eastAsia="Times New Roman" w:hAnsi="Arial" w:cs="Arial"/>
          <w:color w:val="000000"/>
          <w:shd w:val="clear" w:color="auto" w:fill="FFFFFF"/>
          <w:lang w:val="en-US" w:eastAsia="en-ZA"/>
        </w:rPr>
        <w:t xml:space="preserve">The Commission found that Premium Brand, sole distributor of Nikon cameras in South Africa, prohibited retailers from selling cameras at a mark-up of not less than 5% between 2008 and 2012. </w:t>
      </w:r>
    </w:p>
    <w:p w14:paraId="03410102" w14:textId="77777777" w:rsidR="003A4FC5" w:rsidRPr="003A4FC5" w:rsidRDefault="003A4FC5" w:rsidP="003A4FC5">
      <w:pPr>
        <w:spacing w:after="0" w:line="240" w:lineRule="auto"/>
        <w:ind w:left="227" w:right="340"/>
        <w:jc w:val="both"/>
        <w:rPr>
          <w:rFonts w:ascii="Calibri" w:eastAsia="Times New Roman" w:hAnsi="Calibri" w:cs="Calibri"/>
          <w:color w:val="000000"/>
          <w:lang w:val="en-US" w:eastAsia="en-ZA"/>
        </w:rPr>
      </w:pPr>
      <w:r w:rsidRPr="003A4FC5">
        <w:rPr>
          <w:rFonts w:ascii="Arial" w:eastAsia="Times New Roman" w:hAnsi="Arial" w:cs="Arial"/>
          <w:color w:val="000000"/>
          <w:shd w:val="clear" w:color="auto" w:fill="FFFFFF"/>
          <w:lang w:val="en-US" w:eastAsia="en-ZA"/>
        </w:rPr>
        <w:t> </w:t>
      </w:r>
    </w:p>
    <w:p w14:paraId="6FD0515C" w14:textId="77777777" w:rsidR="003A4FC5" w:rsidRPr="003A4FC5" w:rsidRDefault="003A4FC5" w:rsidP="003A4FC5">
      <w:pPr>
        <w:spacing w:after="0" w:line="240" w:lineRule="auto"/>
        <w:ind w:left="227" w:right="340"/>
        <w:jc w:val="both"/>
        <w:rPr>
          <w:rFonts w:ascii="Calibri" w:eastAsia="Times New Roman" w:hAnsi="Calibri" w:cs="Calibri"/>
          <w:color w:val="000000"/>
          <w:lang w:val="en-US" w:eastAsia="en-ZA"/>
        </w:rPr>
      </w:pPr>
      <w:r w:rsidRPr="003A4FC5">
        <w:rPr>
          <w:rFonts w:ascii="Arial" w:eastAsia="Times New Roman" w:hAnsi="Arial" w:cs="Arial"/>
          <w:color w:val="000000"/>
          <w:shd w:val="clear" w:color="auto" w:fill="FFFFFF"/>
          <w:lang w:val="en-US" w:eastAsia="en-ZA"/>
        </w:rPr>
        <w:lastRenderedPageBreak/>
        <w:t xml:space="preserve">Premium brand admitted that it coordinated the advertisement of the Nikon Brand by coordinating prices at which the Nikon brand was advertised in a manner which may have had the effect of contravening section 5 (2). </w:t>
      </w:r>
    </w:p>
    <w:p w14:paraId="25CE3A00" w14:textId="77777777" w:rsidR="003A4FC5" w:rsidRPr="003A4FC5" w:rsidRDefault="003A4FC5" w:rsidP="003A4FC5">
      <w:pPr>
        <w:spacing w:after="0" w:line="240" w:lineRule="auto"/>
        <w:ind w:left="227" w:right="340"/>
        <w:jc w:val="both"/>
        <w:rPr>
          <w:rFonts w:ascii="Calibri" w:eastAsia="Times New Roman" w:hAnsi="Calibri" w:cs="Calibri"/>
          <w:color w:val="000000"/>
          <w:lang w:val="en-US" w:eastAsia="en-ZA"/>
        </w:rPr>
      </w:pPr>
      <w:r w:rsidRPr="003A4FC5">
        <w:rPr>
          <w:rFonts w:ascii="Arial" w:eastAsia="Times New Roman" w:hAnsi="Arial" w:cs="Arial"/>
          <w:color w:val="000000"/>
          <w:shd w:val="clear" w:color="auto" w:fill="FFFFFF"/>
          <w:lang w:val="en-US" w:eastAsia="en-ZA"/>
        </w:rPr>
        <w:t> </w:t>
      </w:r>
    </w:p>
    <w:p w14:paraId="7393DB0D" w14:textId="77777777" w:rsidR="003A4FC5" w:rsidRPr="003A4FC5" w:rsidRDefault="003A4FC5" w:rsidP="003A4FC5">
      <w:pPr>
        <w:spacing w:after="0" w:line="240" w:lineRule="auto"/>
        <w:ind w:left="227" w:right="340"/>
        <w:jc w:val="both"/>
        <w:rPr>
          <w:rFonts w:ascii="Calibri" w:eastAsia="Times New Roman" w:hAnsi="Calibri" w:cs="Calibri"/>
          <w:color w:val="000000"/>
          <w:lang w:val="en-US" w:eastAsia="en-ZA"/>
        </w:rPr>
      </w:pPr>
      <w:r w:rsidRPr="003A4FC5">
        <w:rPr>
          <w:rFonts w:ascii="Arial" w:eastAsia="Times New Roman" w:hAnsi="Arial" w:cs="Arial"/>
          <w:color w:val="000000"/>
          <w:shd w:val="clear" w:color="auto" w:fill="FFFFFF"/>
          <w:lang w:val="en-US" w:eastAsia="en-ZA"/>
        </w:rPr>
        <w:t xml:space="preserve">The Tribunal confirmed an agreement, in terms of which Premium Brand agrees not to engage in resale price maintenance, to develop and circulate a policy document to all its distributors informing them that all recommended retail prices in relation to Nikon products are recommendations only and all distributors are at all times free to determine their own retail prices. </w:t>
      </w:r>
    </w:p>
    <w:p w14:paraId="0A4785C0" w14:textId="77777777" w:rsidR="003A4FC5" w:rsidRPr="003A4FC5" w:rsidRDefault="003A4FC5" w:rsidP="003A4FC5">
      <w:pPr>
        <w:spacing w:after="0" w:line="240" w:lineRule="auto"/>
        <w:ind w:left="227" w:right="340"/>
        <w:jc w:val="both"/>
        <w:rPr>
          <w:rFonts w:ascii="Calibri" w:eastAsia="Times New Roman" w:hAnsi="Calibri" w:cs="Calibri"/>
          <w:color w:val="000000"/>
          <w:lang w:val="en-US" w:eastAsia="en-ZA"/>
        </w:rPr>
      </w:pPr>
      <w:r w:rsidRPr="003A4FC5">
        <w:rPr>
          <w:rFonts w:ascii="Arial" w:eastAsia="Times New Roman" w:hAnsi="Arial" w:cs="Arial"/>
          <w:color w:val="000000"/>
          <w:shd w:val="clear" w:color="auto" w:fill="FFFFFF"/>
          <w:lang w:val="en-US" w:eastAsia="en-ZA"/>
        </w:rPr>
        <w:t> </w:t>
      </w:r>
    </w:p>
    <w:p w14:paraId="74E2CC52" w14:textId="77777777" w:rsidR="003A4FC5" w:rsidRPr="003A4FC5" w:rsidRDefault="003A4FC5" w:rsidP="003A4FC5">
      <w:pPr>
        <w:spacing w:after="0" w:line="240" w:lineRule="auto"/>
        <w:ind w:left="227" w:right="340"/>
        <w:jc w:val="both"/>
        <w:rPr>
          <w:rFonts w:ascii="Calibri" w:eastAsia="Times New Roman" w:hAnsi="Calibri" w:cs="Calibri"/>
          <w:color w:val="000000"/>
          <w:lang w:val="en-US" w:eastAsia="en-ZA"/>
        </w:rPr>
      </w:pPr>
      <w:r w:rsidRPr="003A4FC5">
        <w:rPr>
          <w:rFonts w:ascii="Arial" w:eastAsia="Times New Roman" w:hAnsi="Arial" w:cs="Arial"/>
          <w:color w:val="000000"/>
          <w:shd w:val="clear" w:color="auto" w:fill="FFFFFF"/>
          <w:lang w:val="en-US" w:eastAsia="en-ZA"/>
        </w:rPr>
        <w:t xml:space="preserve">Premium Brand is to pay an administrative penalty of R300 500. </w:t>
      </w:r>
    </w:p>
    <w:p w14:paraId="3BC5611F" w14:textId="77777777" w:rsidR="003A4FC5" w:rsidRPr="003A4FC5" w:rsidRDefault="003A4FC5" w:rsidP="003A4FC5">
      <w:pPr>
        <w:spacing w:after="0" w:line="240" w:lineRule="auto"/>
        <w:ind w:left="340" w:right="340"/>
        <w:jc w:val="both"/>
        <w:rPr>
          <w:rFonts w:ascii="Calibri" w:eastAsia="Times New Roman" w:hAnsi="Calibri" w:cs="Calibri"/>
          <w:color w:val="000000"/>
          <w:lang w:val="en-US" w:eastAsia="en-ZA"/>
        </w:rPr>
      </w:pPr>
      <w:r w:rsidRPr="003A4FC5">
        <w:rPr>
          <w:rFonts w:ascii="Arial" w:eastAsia="Times New Roman" w:hAnsi="Arial" w:cs="Arial"/>
          <w:color w:val="000000"/>
          <w:shd w:val="clear" w:color="auto" w:fill="FFFFFF"/>
          <w:lang w:val="en-US" w:eastAsia="en-ZA"/>
        </w:rPr>
        <w:t> </w:t>
      </w:r>
    </w:p>
    <w:p w14:paraId="1E2BBB81" w14:textId="77777777" w:rsidR="003A4FC5" w:rsidRPr="003A4FC5" w:rsidRDefault="003A4FC5" w:rsidP="003A4FC5">
      <w:pPr>
        <w:spacing w:after="0" w:line="240" w:lineRule="auto"/>
        <w:ind w:left="340" w:right="340"/>
        <w:jc w:val="both"/>
        <w:rPr>
          <w:rFonts w:ascii="Calibri" w:eastAsia="Times New Roman" w:hAnsi="Calibri" w:cs="Calibri"/>
          <w:color w:val="000000"/>
          <w:lang w:val="en-US" w:eastAsia="en-ZA"/>
        </w:rPr>
      </w:pPr>
      <w:r w:rsidRPr="003A4FC5">
        <w:rPr>
          <w:rFonts w:ascii="Arial" w:eastAsia="Times New Roman" w:hAnsi="Arial" w:cs="Arial"/>
          <w:color w:val="000000"/>
          <w:shd w:val="clear" w:color="auto" w:fill="FFFFFF"/>
          <w:lang w:val="en-US" w:eastAsia="en-ZA"/>
        </w:rPr>
        <w:t> </w:t>
      </w:r>
    </w:p>
    <w:p w14:paraId="0EC50428" w14:textId="77777777" w:rsidR="003A4FC5" w:rsidRPr="003A4FC5" w:rsidRDefault="003A4FC5" w:rsidP="003A4FC5">
      <w:pPr>
        <w:spacing w:after="0" w:line="240" w:lineRule="auto"/>
        <w:ind w:left="340" w:right="340"/>
        <w:jc w:val="both"/>
        <w:rPr>
          <w:rFonts w:ascii="Calibri" w:eastAsia="Times New Roman" w:hAnsi="Calibri" w:cs="Calibri"/>
          <w:color w:val="000000"/>
          <w:lang w:val="en-US" w:eastAsia="en-ZA"/>
        </w:rPr>
      </w:pPr>
      <w:r w:rsidRPr="003A4FC5">
        <w:rPr>
          <w:rFonts w:ascii="Arial" w:eastAsia="Times New Roman" w:hAnsi="Arial" w:cs="Arial"/>
          <w:color w:val="000000"/>
          <w:lang w:val="en-US" w:eastAsia="en-ZA"/>
        </w:rPr>
        <w:t xml:space="preserve">Issued by: </w:t>
      </w:r>
    </w:p>
    <w:p w14:paraId="373D202A" w14:textId="77777777" w:rsidR="003A4FC5" w:rsidRPr="003A4FC5" w:rsidRDefault="003A4FC5" w:rsidP="003A4FC5">
      <w:pPr>
        <w:spacing w:after="0" w:line="240" w:lineRule="auto"/>
        <w:ind w:left="340" w:right="340"/>
        <w:jc w:val="both"/>
        <w:rPr>
          <w:rFonts w:ascii="Calibri" w:eastAsia="Times New Roman" w:hAnsi="Calibri" w:cs="Calibri"/>
          <w:color w:val="000000"/>
          <w:lang w:val="en-US" w:eastAsia="en-ZA"/>
        </w:rPr>
      </w:pPr>
      <w:r w:rsidRPr="003A4FC5">
        <w:rPr>
          <w:rFonts w:ascii="Arial" w:eastAsia="Times New Roman" w:hAnsi="Arial" w:cs="Arial"/>
          <w:color w:val="000000"/>
          <w:lang w:val="en-US" w:eastAsia="en-ZA"/>
        </w:rPr>
        <w:t xml:space="preserve">Chantelle Benjamin </w:t>
      </w:r>
    </w:p>
    <w:p w14:paraId="3F07B67C" w14:textId="77777777" w:rsidR="003A4FC5" w:rsidRPr="003A4FC5" w:rsidRDefault="003A4FC5" w:rsidP="003A4FC5">
      <w:pPr>
        <w:spacing w:after="0" w:line="240" w:lineRule="auto"/>
        <w:ind w:left="340" w:right="340"/>
        <w:jc w:val="both"/>
        <w:rPr>
          <w:rFonts w:ascii="Calibri" w:eastAsia="Times New Roman" w:hAnsi="Calibri" w:cs="Calibri"/>
          <w:color w:val="000000"/>
          <w:lang w:val="en-US" w:eastAsia="en-ZA"/>
        </w:rPr>
      </w:pPr>
      <w:r w:rsidRPr="003A4FC5">
        <w:rPr>
          <w:rFonts w:ascii="Arial" w:eastAsia="Times New Roman" w:hAnsi="Arial" w:cs="Arial"/>
          <w:color w:val="000000"/>
          <w:lang w:val="en-US" w:eastAsia="en-ZA"/>
        </w:rPr>
        <w:t>Communications: Competition Tribunal   </w:t>
      </w:r>
    </w:p>
    <w:p w14:paraId="25F09AF9" w14:textId="77777777" w:rsidR="003A4FC5" w:rsidRPr="003A4FC5" w:rsidRDefault="003A4FC5" w:rsidP="003A4FC5">
      <w:pPr>
        <w:spacing w:after="0" w:line="240" w:lineRule="auto"/>
        <w:ind w:left="340" w:right="340"/>
        <w:jc w:val="both"/>
        <w:rPr>
          <w:rFonts w:ascii="Calibri" w:eastAsia="Times New Roman" w:hAnsi="Calibri" w:cs="Calibri"/>
          <w:color w:val="000000"/>
          <w:lang w:val="en-US" w:eastAsia="en-ZA"/>
        </w:rPr>
      </w:pPr>
      <w:r w:rsidRPr="003A4FC5">
        <w:rPr>
          <w:rFonts w:ascii="Arial" w:eastAsia="Times New Roman" w:hAnsi="Arial" w:cs="Arial"/>
          <w:color w:val="000000"/>
          <w:lang w:val="en-US" w:eastAsia="en-ZA"/>
        </w:rPr>
        <w:t xml:space="preserve">Tel (012)394 1383                                      </w:t>
      </w:r>
    </w:p>
    <w:p w14:paraId="1A7619D3" w14:textId="77777777" w:rsidR="003A4FC5" w:rsidRPr="003A4FC5" w:rsidRDefault="003A4FC5" w:rsidP="003A4FC5">
      <w:pPr>
        <w:spacing w:after="0" w:line="240" w:lineRule="auto"/>
        <w:ind w:left="340" w:right="340"/>
        <w:jc w:val="both"/>
        <w:rPr>
          <w:rFonts w:ascii="Calibri" w:eastAsia="Times New Roman" w:hAnsi="Calibri" w:cs="Calibri"/>
          <w:color w:val="000000"/>
          <w:lang w:val="en-US" w:eastAsia="en-ZA"/>
        </w:rPr>
      </w:pPr>
      <w:r w:rsidRPr="003A4FC5">
        <w:rPr>
          <w:rFonts w:ascii="Arial" w:eastAsia="Times New Roman" w:hAnsi="Arial" w:cs="Arial"/>
          <w:color w:val="000000"/>
          <w:lang w:val="en-US" w:eastAsia="en-ZA"/>
        </w:rPr>
        <w:t>Cell: +27 (0) 73 007 5603  </w:t>
      </w:r>
    </w:p>
    <w:p w14:paraId="3FC9858D" w14:textId="77777777" w:rsidR="003A4FC5" w:rsidRPr="003A4FC5" w:rsidRDefault="003A4FC5" w:rsidP="003A4FC5">
      <w:pPr>
        <w:spacing w:after="0" w:line="240" w:lineRule="auto"/>
        <w:ind w:left="340" w:right="340"/>
        <w:jc w:val="both"/>
        <w:rPr>
          <w:rFonts w:ascii="Calibri" w:eastAsia="Times New Roman" w:hAnsi="Calibri" w:cs="Calibri"/>
          <w:color w:val="000000"/>
          <w:lang w:val="en-US" w:eastAsia="en-ZA"/>
        </w:rPr>
      </w:pPr>
      <w:r w:rsidRPr="003A4FC5">
        <w:rPr>
          <w:rFonts w:ascii="Arial" w:eastAsia="Times New Roman" w:hAnsi="Arial" w:cs="Arial"/>
          <w:color w:val="000000"/>
          <w:lang w:val="en-US" w:eastAsia="en-ZA"/>
        </w:rPr>
        <w:t>Twitter: @</w:t>
      </w:r>
      <w:proofErr w:type="spellStart"/>
      <w:r w:rsidRPr="003A4FC5">
        <w:rPr>
          <w:rFonts w:ascii="Arial" w:eastAsia="Times New Roman" w:hAnsi="Arial" w:cs="Arial"/>
          <w:color w:val="000000"/>
          <w:lang w:val="en-US" w:eastAsia="en-ZA"/>
        </w:rPr>
        <w:t>comptrib</w:t>
      </w:r>
      <w:proofErr w:type="spellEnd"/>
      <w:r w:rsidRPr="003A4FC5">
        <w:rPr>
          <w:rFonts w:ascii="Arial" w:eastAsia="Times New Roman" w:hAnsi="Arial" w:cs="Arial"/>
          <w:color w:val="000000"/>
          <w:lang w:val="en-US" w:eastAsia="en-ZA"/>
        </w:rPr>
        <w:t xml:space="preserve">                                        </w:t>
      </w:r>
    </w:p>
    <w:p w14:paraId="31153A28" w14:textId="77777777" w:rsidR="003A4FC5" w:rsidRPr="003A4FC5" w:rsidRDefault="003A4FC5" w:rsidP="003A4FC5">
      <w:pPr>
        <w:spacing w:after="0" w:line="240" w:lineRule="auto"/>
        <w:ind w:left="340" w:right="340"/>
        <w:jc w:val="both"/>
        <w:rPr>
          <w:rFonts w:ascii="Calibri" w:eastAsia="Times New Roman" w:hAnsi="Calibri" w:cs="Calibri"/>
          <w:color w:val="000000"/>
          <w:lang w:val="en-US" w:eastAsia="en-ZA"/>
        </w:rPr>
      </w:pPr>
      <w:r w:rsidRPr="003A4FC5">
        <w:rPr>
          <w:rFonts w:ascii="Arial" w:eastAsia="Times New Roman" w:hAnsi="Arial" w:cs="Arial"/>
          <w:color w:val="000000"/>
          <w:lang w:val="en-US" w:eastAsia="en-ZA"/>
        </w:rPr>
        <w:t xml:space="preserve">E-Mail: </w:t>
      </w:r>
      <w:hyperlink r:id="rId4" w:tgtFrame="_blank" w:history="1">
        <w:r w:rsidRPr="003A4FC5">
          <w:rPr>
            <w:rFonts w:ascii="Arial" w:eastAsia="Times New Roman" w:hAnsi="Arial" w:cs="Arial"/>
            <w:color w:val="0563C1"/>
            <w:u w:val="single"/>
            <w:lang w:val="en-US" w:eastAsia="en-ZA"/>
          </w:rPr>
          <w:t>chantelleb@comptrib.co.za</w:t>
        </w:r>
      </w:hyperlink>
      <w:r w:rsidRPr="003A4FC5">
        <w:rPr>
          <w:rFonts w:ascii="Arial" w:eastAsia="Times New Roman" w:hAnsi="Arial" w:cs="Arial"/>
          <w:color w:val="000000"/>
          <w:lang w:val="en-US" w:eastAsia="en-ZA"/>
        </w:rPr>
        <w:t xml:space="preserve"> </w:t>
      </w:r>
    </w:p>
    <w:p w14:paraId="1664D265" w14:textId="77777777" w:rsidR="003A4FC5" w:rsidRPr="003A4FC5" w:rsidRDefault="003A4FC5" w:rsidP="003A4FC5">
      <w:pPr>
        <w:spacing w:after="0" w:line="240" w:lineRule="auto"/>
        <w:ind w:left="340" w:right="340"/>
        <w:jc w:val="both"/>
        <w:rPr>
          <w:rFonts w:ascii="Calibri" w:eastAsia="Times New Roman" w:hAnsi="Calibri" w:cs="Calibri"/>
          <w:color w:val="000000"/>
          <w:lang w:val="en-US" w:eastAsia="en-ZA"/>
        </w:rPr>
      </w:pPr>
      <w:r w:rsidRPr="003A4FC5">
        <w:rPr>
          <w:rFonts w:ascii="Arial" w:eastAsia="Times New Roman" w:hAnsi="Arial" w:cs="Arial"/>
          <w:color w:val="000000"/>
          <w:lang w:val="en-US" w:eastAsia="en-ZA"/>
        </w:rPr>
        <w:t> </w:t>
      </w:r>
    </w:p>
    <w:p w14:paraId="34E83992" w14:textId="77777777" w:rsidR="003A4FC5" w:rsidRPr="003A4FC5" w:rsidRDefault="003A4FC5" w:rsidP="003A4FC5">
      <w:pPr>
        <w:spacing w:after="0" w:line="240" w:lineRule="auto"/>
        <w:ind w:left="340" w:right="340"/>
        <w:jc w:val="both"/>
        <w:rPr>
          <w:rFonts w:ascii="Calibri" w:eastAsia="Times New Roman" w:hAnsi="Calibri" w:cs="Calibri"/>
          <w:color w:val="000000"/>
          <w:lang w:val="en-US" w:eastAsia="en-ZA"/>
        </w:rPr>
      </w:pPr>
      <w:r w:rsidRPr="003A4FC5">
        <w:rPr>
          <w:rFonts w:ascii="Arial" w:eastAsia="Times New Roman" w:hAnsi="Arial" w:cs="Arial"/>
          <w:color w:val="000000"/>
          <w:lang w:val="en-US" w:eastAsia="en-ZA"/>
        </w:rPr>
        <w:t> </w:t>
      </w:r>
    </w:p>
    <w:p w14:paraId="4BF55773" w14:textId="77777777" w:rsidR="003A4FC5" w:rsidRPr="003A4FC5" w:rsidRDefault="003A4FC5" w:rsidP="003A4FC5">
      <w:pPr>
        <w:spacing w:after="0" w:line="240" w:lineRule="auto"/>
        <w:ind w:left="340" w:right="340"/>
        <w:jc w:val="both"/>
        <w:rPr>
          <w:rFonts w:ascii="Calibri" w:eastAsia="Times New Roman" w:hAnsi="Calibri" w:cs="Calibri"/>
          <w:color w:val="000000"/>
          <w:lang w:val="en-US" w:eastAsia="en-ZA"/>
        </w:rPr>
      </w:pPr>
      <w:r w:rsidRPr="003A4FC5">
        <w:rPr>
          <w:rFonts w:ascii="Arial" w:eastAsia="Times New Roman" w:hAnsi="Arial" w:cs="Arial"/>
          <w:color w:val="000000"/>
          <w:lang w:val="en-US" w:eastAsia="en-ZA"/>
        </w:rPr>
        <w:t>On Behalf Of:</w:t>
      </w:r>
    </w:p>
    <w:p w14:paraId="1E28C693" w14:textId="77777777" w:rsidR="003A4FC5" w:rsidRPr="003A4FC5" w:rsidRDefault="003A4FC5" w:rsidP="003A4FC5">
      <w:pPr>
        <w:spacing w:after="0" w:line="240" w:lineRule="auto"/>
        <w:ind w:left="340" w:right="340"/>
        <w:jc w:val="both"/>
        <w:rPr>
          <w:rFonts w:ascii="Calibri" w:eastAsia="Times New Roman" w:hAnsi="Calibri" w:cs="Calibri"/>
          <w:color w:val="000000"/>
          <w:lang w:val="en-US" w:eastAsia="en-ZA"/>
        </w:rPr>
      </w:pPr>
      <w:r w:rsidRPr="003A4FC5">
        <w:rPr>
          <w:rFonts w:ascii="Arial" w:eastAsia="Times New Roman" w:hAnsi="Arial" w:cs="Arial"/>
          <w:color w:val="000000"/>
          <w:lang w:val="en-US" w:eastAsia="en-ZA"/>
        </w:rPr>
        <w:t>Lerato Motaung                                                   </w:t>
      </w:r>
    </w:p>
    <w:p w14:paraId="1D56A92E" w14:textId="77777777" w:rsidR="003A4FC5" w:rsidRPr="003A4FC5" w:rsidRDefault="003A4FC5" w:rsidP="003A4FC5">
      <w:pPr>
        <w:spacing w:after="0" w:line="240" w:lineRule="auto"/>
        <w:ind w:left="340" w:right="340"/>
        <w:jc w:val="both"/>
        <w:rPr>
          <w:rFonts w:ascii="Calibri" w:eastAsia="Times New Roman" w:hAnsi="Calibri" w:cs="Calibri"/>
          <w:color w:val="000000"/>
          <w:lang w:val="en-US" w:eastAsia="en-ZA"/>
        </w:rPr>
      </w:pPr>
      <w:r w:rsidRPr="003A4FC5">
        <w:rPr>
          <w:rFonts w:ascii="Arial" w:eastAsia="Times New Roman" w:hAnsi="Arial" w:cs="Arial"/>
          <w:color w:val="000000"/>
          <w:lang w:val="en-US" w:eastAsia="en-ZA"/>
        </w:rPr>
        <w:t xml:space="preserve">Registrar: Competition Tribunal                                         </w:t>
      </w:r>
    </w:p>
    <w:p w14:paraId="20A510E5" w14:textId="77777777" w:rsidR="003A4FC5" w:rsidRPr="003A4FC5" w:rsidRDefault="003A4FC5" w:rsidP="003A4FC5">
      <w:pPr>
        <w:spacing w:after="0" w:line="240" w:lineRule="auto"/>
        <w:ind w:left="340" w:right="340"/>
        <w:jc w:val="both"/>
        <w:rPr>
          <w:rFonts w:ascii="Calibri" w:eastAsia="Times New Roman" w:hAnsi="Calibri" w:cs="Calibri"/>
          <w:color w:val="000000"/>
          <w:lang w:val="en-US" w:eastAsia="en-ZA"/>
        </w:rPr>
      </w:pPr>
      <w:r w:rsidRPr="003A4FC5">
        <w:rPr>
          <w:rFonts w:ascii="Arial" w:eastAsia="Times New Roman" w:hAnsi="Arial" w:cs="Arial"/>
          <w:color w:val="000000"/>
          <w:lang w:val="en-US" w:eastAsia="en-ZA"/>
        </w:rPr>
        <w:t xml:space="preserve">Tel: (012) 394 3355                                              </w:t>
      </w:r>
    </w:p>
    <w:p w14:paraId="7785EA18" w14:textId="77777777" w:rsidR="003A4FC5" w:rsidRPr="003A4FC5" w:rsidRDefault="003A4FC5" w:rsidP="003A4FC5">
      <w:pPr>
        <w:spacing w:after="0" w:line="240" w:lineRule="auto"/>
        <w:ind w:left="340" w:right="340"/>
        <w:jc w:val="both"/>
        <w:rPr>
          <w:rFonts w:ascii="Calibri" w:eastAsia="Times New Roman" w:hAnsi="Calibri" w:cs="Calibri"/>
          <w:color w:val="000000"/>
          <w:lang w:val="en-US" w:eastAsia="en-ZA"/>
        </w:rPr>
      </w:pPr>
      <w:r w:rsidRPr="003A4FC5">
        <w:rPr>
          <w:rFonts w:ascii="Arial" w:eastAsia="Times New Roman" w:hAnsi="Arial" w:cs="Arial"/>
          <w:color w:val="000000"/>
          <w:lang w:val="en-US" w:eastAsia="en-ZA"/>
        </w:rPr>
        <w:t xml:space="preserve">Cell: +27 (0) 82 556 3221                                               </w:t>
      </w:r>
    </w:p>
    <w:p w14:paraId="677290CE" w14:textId="77777777" w:rsidR="003A4FC5" w:rsidRPr="003A4FC5" w:rsidRDefault="003A4FC5" w:rsidP="003A4FC5">
      <w:pPr>
        <w:spacing w:after="0" w:line="240" w:lineRule="auto"/>
        <w:ind w:left="340" w:right="340"/>
        <w:jc w:val="both"/>
        <w:rPr>
          <w:rFonts w:ascii="Calibri" w:eastAsia="Times New Roman" w:hAnsi="Calibri" w:cs="Calibri"/>
          <w:color w:val="000000"/>
          <w:lang w:val="en-US" w:eastAsia="en-ZA"/>
        </w:rPr>
      </w:pPr>
      <w:r w:rsidRPr="003A4FC5">
        <w:rPr>
          <w:rFonts w:ascii="Arial" w:eastAsia="Times New Roman" w:hAnsi="Arial" w:cs="Arial"/>
          <w:color w:val="000000"/>
          <w:lang w:val="en-US" w:eastAsia="en-ZA"/>
        </w:rPr>
        <w:t xml:space="preserve">E-Mail: </w:t>
      </w:r>
      <w:hyperlink r:id="rId5" w:tgtFrame="_blank" w:history="1">
        <w:r w:rsidRPr="003A4FC5">
          <w:rPr>
            <w:rFonts w:ascii="Arial" w:eastAsia="Times New Roman" w:hAnsi="Arial" w:cs="Arial"/>
            <w:color w:val="0563C1"/>
            <w:u w:val="single"/>
            <w:lang w:val="en-US" w:eastAsia="en-ZA"/>
          </w:rPr>
          <w:t>LeratoM@comptrib.co.za</w:t>
        </w:r>
      </w:hyperlink>
    </w:p>
    <w:p w14:paraId="5F376DAA" w14:textId="77777777" w:rsidR="000B1AA8" w:rsidRDefault="000B1AA8"/>
    <w:sectPr w:rsidR="000B1A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FC5"/>
    <w:rsid w:val="000145DD"/>
    <w:rsid w:val="000B1AA8"/>
    <w:rsid w:val="003A4FC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47200"/>
  <w15:chartTrackingRefBased/>
  <w15:docId w15:val="{E68AFFC2-9D16-482F-9751-C3A88A6AD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A4FC5"/>
    <w:rPr>
      <w:color w:val="0563C1"/>
      <w:u w:val="single"/>
    </w:rPr>
  </w:style>
  <w:style w:type="character" w:customStyle="1" w:styleId="apple-converted-space">
    <w:name w:val="apple-converted-space"/>
    <w:basedOn w:val="DefaultParagraphFont"/>
    <w:rsid w:val="003A4F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2773595">
      <w:bodyDiv w:val="1"/>
      <w:marLeft w:val="0"/>
      <w:marRight w:val="0"/>
      <w:marTop w:val="0"/>
      <w:marBottom w:val="0"/>
      <w:divBdr>
        <w:top w:val="none" w:sz="0" w:space="0" w:color="auto"/>
        <w:left w:val="none" w:sz="0" w:space="0" w:color="auto"/>
        <w:bottom w:val="none" w:sz="0" w:space="0" w:color="auto"/>
        <w:right w:val="none" w:sz="0" w:space="0" w:color="auto"/>
      </w:divBdr>
      <w:divsChild>
        <w:div w:id="1775515461">
          <w:marLeft w:val="0"/>
          <w:marRight w:val="0"/>
          <w:marTop w:val="0"/>
          <w:marBottom w:val="0"/>
          <w:divBdr>
            <w:top w:val="none" w:sz="0" w:space="0" w:color="auto"/>
            <w:left w:val="none" w:sz="0" w:space="0" w:color="auto"/>
            <w:bottom w:val="none" w:sz="0" w:space="0" w:color="auto"/>
            <w:right w:val="none" w:sz="0" w:space="0" w:color="auto"/>
          </w:divBdr>
          <w:divsChild>
            <w:div w:id="489908684">
              <w:marLeft w:val="0"/>
              <w:marRight w:val="0"/>
              <w:marTop w:val="0"/>
              <w:marBottom w:val="0"/>
              <w:divBdr>
                <w:top w:val="none" w:sz="0" w:space="0" w:color="auto"/>
                <w:left w:val="none" w:sz="0" w:space="0" w:color="auto"/>
                <w:bottom w:val="none" w:sz="0" w:space="0" w:color="auto"/>
                <w:right w:val="none" w:sz="0" w:space="0" w:color="auto"/>
              </w:divBdr>
              <w:divsChild>
                <w:div w:id="1495027638">
                  <w:marLeft w:val="0"/>
                  <w:marRight w:val="0"/>
                  <w:marTop w:val="0"/>
                  <w:marBottom w:val="0"/>
                  <w:divBdr>
                    <w:top w:val="none" w:sz="0" w:space="0" w:color="auto"/>
                    <w:left w:val="none" w:sz="0" w:space="0" w:color="auto"/>
                    <w:bottom w:val="none" w:sz="0" w:space="0" w:color="auto"/>
                    <w:right w:val="none" w:sz="0" w:space="0" w:color="auto"/>
                  </w:divBdr>
                  <w:divsChild>
                    <w:div w:id="1827278728">
                      <w:marLeft w:val="0"/>
                      <w:marRight w:val="0"/>
                      <w:marTop w:val="0"/>
                      <w:marBottom w:val="0"/>
                      <w:divBdr>
                        <w:top w:val="none" w:sz="0" w:space="0" w:color="auto"/>
                        <w:left w:val="none" w:sz="0" w:space="0" w:color="auto"/>
                        <w:bottom w:val="none" w:sz="0" w:space="0" w:color="auto"/>
                        <w:right w:val="none" w:sz="0" w:space="0" w:color="auto"/>
                      </w:divBdr>
                      <w:divsChild>
                        <w:div w:id="473912">
                          <w:marLeft w:val="0"/>
                          <w:marRight w:val="0"/>
                          <w:marTop w:val="0"/>
                          <w:marBottom w:val="0"/>
                          <w:divBdr>
                            <w:top w:val="none" w:sz="0" w:space="0" w:color="auto"/>
                            <w:left w:val="none" w:sz="0" w:space="0" w:color="auto"/>
                            <w:bottom w:val="none" w:sz="0" w:space="0" w:color="auto"/>
                            <w:right w:val="none" w:sz="0" w:space="0" w:color="auto"/>
                          </w:divBdr>
                          <w:divsChild>
                            <w:div w:id="320815822">
                              <w:marLeft w:val="0"/>
                              <w:marRight w:val="0"/>
                              <w:marTop w:val="0"/>
                              <w:marBottom w:val="0"/>
                              <w:divBdr>
                                <w:top w:val="none" w:sz="0" w:space="0" w:color="auto"/>
                                <w:left w:val="none" w:sz="0" w:space="0" w:color="auto"/>
                                <w:bottom w:val="none" w:sz="0" w:space="0" w:color="auto"/>
                                <w:right w:val="none" w:sz="0" w:space="0" w:color="auto"/>
                              </w:divBdr>
                              <w:divsChild>
                                <w:div w:id="1184711438">
                                  <w:marLeft w:val="0"/>
                                  <w:marRight w:val="0"/>
                                  <w:marTop w:val="0"/>
                                  <w:marBottom w:val="0"/>
                                  <w:divBdr>
                                    <w:top w:val="none" w:sz="0" w:space="0" w:color="auto"/>
                                    <w:left w:val="none" w:sz="0" w:space="0" w:color="auto"/>
                                    <w:bottom w:val="none" w:sz="0" w:space="0" w:color="auto"/>
                                    <w:right w:val="none" w:sz="0" w:space="0" w:color="auto"/>
                                  </w:divBdr>
                                  <w:divsChild>
                                    <w:div w:id="149059464">
                                      <w:marLeft w:val="0"/>
                                      <w:marRight w:val="0"/>
                                      <w:marTop w:val="0"/>
                                      <w:marBottom w:val="0"/>
                                      <w:divBdr>
                                        <w:top w:val="none" w:sz="0" w:space="0" w:color="auto"/>
                                        <w:left w:val="none" w:sz="0" w:space="0" w:color="auto"/>
                                        <w:bottom w:val="none" w:sz="0" w:space="0" w:color="auto"/>
                                        <w:right w:val="none" w:sz="0" w:space="0" w:color="auto"/>
                                      </w:divBdr>
                                      <w:divsChild>
                                        <w:div w:id="819345736">
                                          <w:marLeft w:val="0"/>
                                          <w:marRight w:val="0"/>
                                          <w:marTop w:val="0"/>
                                          <w:marBottom w:val="0"/>
                                          <w:divBdr>
                                            <w:top w:val="none" w:sz="0" w:space="0" w:color="auto"/>
                                            <w:left w:val="none" w:sz="0" w:space="0" w:color="auto"/>
                                            <w:bottom w:val="none" w:sz="0" w:space="0" w:color="auto"/>
                                            <w:right w:val="none" w:sz="0" w:space="0" w:color="auto"/>
                                          </w:divBdr>
                                          <w:divsChild>
                                            <w:div w:id="190016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eratoM@comptrib.co.za" TargetMode="External"/><Relationship Id="rId4" Type="http://schemas.openxmlformats.org/officeDocument/2006/relationships/hyperlink" Target="mhtml:file://C:\Users\Gilliand\AppData\Local\Temp\BDY-495e1.mht!file:///C:\Users\AlistairV\AppData\Local\Microsoft\Windows\Temporary%20Internet%20Files\Content.Outlook\HMBET88G\chantelleb@comptrib.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592</Words>
  <Characters>3379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De Gouveia</dc:creator>
  <cp:keywords/>
  <dc:description/>
  <cp:lastModifiedBy>Gillian De Gouveia</cp:lastModifiedBy>
  <cp:revision>1</cp:revision>
  <dcterms:created xsi:type="dcterms:W3CDTF">2019-04-25T11:09:00Z</dcterms:created>
  <dcterms:modified xsi:type="dcterms:W3CDTF">2019-04-25T11:13:00Z</dcterms:modified>
</cp:coreProperties>
</file>