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D610" w14:textId="77777777" w:rsidR="006314FF" w:rsidRPr="006314FF" w:rsidRDefault="006314FF" w:rsidP="006314FF">
      <w:pPr>
        <w:spacing w:after="0" w:line="240" w:lineRule="auto"/>
        <w:jc w:val="center"/>
        <w:rPr>
          <w:rFonts w:ascii="Calibri" w:eastAsia="Times New Roman" w:hAnsi="Calibri" w:cs="Calibri"/>
          <w:lang w:val="en-US" w:eastAsia="en-ZA"/>
        </w:rPr>
      </w:pPr>
      <w:r w:rsidRPr="006314FF">
        <w:rPr>
          <w:rFonts w:ascii="Arial" w:eastAsia="Times New Roman" w:hAnsi="Arial" w:cs="Arial"/>
          <w:b/>
          <w:bCs/>
          <w:lang w:val="en-US" w:eastAsia="en-ZA"/>
        </w:rPr>
        <w:t>OUTCOME OF TRIBUNAL HEARING FOR WEDNESDAY, 30 NOVEMBER 2016</w:t>
      </w:r>
    </w:p>
    <w:p w14:paraId="188DD797"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14F43206" w14:textId="0E465D26"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tbl>
      <w:tblPr>
        <w:tblW w:w="9340" w:type="dxa"/>
        <w:jc w:val="center"/>
        <w:tblCellMar>
          <w:left w:w="0" w:type="dxa"/>
          <w:right w:w="0" w:type="dxa"/>
        </w:tblCellMar>
        <w:tblLook w:val="04A0" w:firstRow="1" w:lastRow="0" w:firstColumn="1" w:lastColumn="0" w:noHBand="0" w:noVBand="1"/>
      </w:tblPr>
      <w:tblGrid>
        <w:gridCol w:w="2455"/>
        <w:gridCol w:w="2570"/>
        <w:gridCol w:w="2496"/>
        <w:gridCol w:w="1819"/>
      </w:tblGrid>
      <w:tr w:rsidR="006314FF" w:rsidRPr="006314FF" w14:paraId="281E009B" w14:textId="77777777" w:rsidTr="006314FF">
        <w:trPr>
          <w:trHeight w:val="972"/>
          <w:jc w:val="center"/>
        </w:trPr>
        <w:tc>
          <w:tcPr>
            <w:tcW w:w="2455"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772FD66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Type of matter</w:t>
            </w:r>
          </w:p>
        </w:tc>
        <w:tc>
          <w:tcPr>
            <w:tcW w:w="2570"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0140756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Parties involved</w:t>
            </w:r>
          </w:p>
        </w:tc>
        <w:tc>
          <w:tcPr>
            <w:tcW w:w="2496"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20E39C7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Competition Commission’s recommendation to Tribunal</w:t>
            </w:r>
          </w:p>
        </w:tc>
        <w:tc>
          <w:tcPr>
            <w:tcW w:w="1819" w:type="dxa"/>
            <w:tcBorders>
              <w:top w:val="single" w:sz="8" w:space="0" w:color="996633"/>
              <w:left w:val="nil"/>
              <w:bottom w:val="single" w:sz="8" w:space="0" w:color="996633"/>
              <w:right w:val="single" w:sz="8" w:space="0" w:color="996633"/>
            </w:tcBorders>
            <w:shd w:val="clear" w:color="auto" w:fill="996633"/>
            <w:hideMark/>
          </w:tcPr>
          <w:p w14:paraId="56F5A09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 xml:space="preserve">Tribunal decision </w:t>
            </w:r>
          </w:p>
        </w:tc>
      </w:tr>
      <w:tr w:rsidR="006314FF" w:rsidRPr="006314FF" w14:paraId="3C219620" w14:textId="77777777" w:rsidTr="006314FF">
        <w:trPr>
          <w:trHeight w:val="493"/>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220A0A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763B386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African Rainbow Capital (Pty) Ltd And Global Asset Management Limited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8F03D0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136245E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7994D85A"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6F891B3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p w14:paraId="79E62C2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0E37C0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EOH </w:t>
            </w:r>
            <w:proofErr w:type="spellStart"/>
            <w:r w:rsidRPr="006314FF">
              <w:rPr>
                <w:rFonts w:ascii="Arial" w:eastAsia="Times New Roman" w:hAnsi="Arial" w:cs="Arial"/>
                <w:color w:val="000000"/>
                <w:lang w:eastAsia="en-ZA"/>
              </w:rPr>
              <w:t>Mthombo</w:t>
            </w:r>
            <w:proofErr w:type="spellEnd"/>
            <w:r w:rsidRPr="006314FF">
              <w:rPr>
                <w:rFonts w:ascii="Arial" w:eastAsia="Times New Roman" w:hAnsi="Arial" w:cs="Arial"/>
                <w:color w:val="000000"/>
                <w:lang w:eastAsia="en-ZA"/>
              </w:rPr>
              <w:t xml:space="preserve"> (Pty) Ltd And Mars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0BDA6EB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55D57921"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5B3439E4"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E3CEE1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628658FE"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Stellar Capital Partners Limited And Prescient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710FF6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422331A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69179DA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D9DCD7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Large merger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9DF84A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Imperial Holdings Limited And </w:t>
            </w:r>
            <w:proofErr w:type="spellStart"/>
            <w:r w:rsidRPr="006314FF">
              <w:rPr>
                <w:rFonts w:ascii="Arial" w:eastAsia="Times New Roman" w:hAnsi="Arial" w:cs="Arial"/>
                <w:color w:val="000000"/>
                <w:lang w:eastAsia="en-ZA"/>
              </w:rPr>
              <w:t>Itumele</w:t>
            </w:r>
            <w:proofErr w:type="spellEnd"/>
            <w:r w:rsidRPr="006314FF">
              <w:rPr>
                <w:rFonts w:ascii="Arial" w:eastAsia="Times New Roman" w:hAnsi="Arial" w:cs="Arial"/>
                <w:color w:val="000000"/>
                <w:lang w:eastAsia="en-ZA"/>
              </w:rPr>
              <w:t xml:space="preserve"> Bus Lines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EF0C66B"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 conditions</w:t>
            </w:r>
          </w:p>
        </w:tc>
        <w:tc>
          <w:tcPr>
            <w:tcW w:w="1819" w:type="dxa"/>
            <w:tcBorders>
              <w:top w:val="nil"/>
              <w:left w:val="nil"/>
              <w:bottom w:val="single" w:sz="8" w:space="0" w:color="996633"/>
              <w:right w:val="single" w:sz="8" w:space="0" w:color="996633"/>
            </w:tcBorders>
            <w:hideMark/>
          </w:tcPr>
          <w:p w14:paraId="75F8E93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203019B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A07CBD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823A51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Growthpoint Healthcare Property Holdings Limited And </w:t>
            </w:r>
            <w:proofErr w:type="spellStart"/>
            <w:r w:rsidRPr="006314FF">
              <w:rPr>
                <w:rFonts w:ascii="Arial" w:eastAsia="Times New Roman" w:hAnsi="Arial" w:cs="Arial"/>
                <w:color w:val="000000"/>
                <w:lang w:eastAsia="en-ZA"/>
              </w:rPr>
              <w:t>Vukile</w:t>
            </w:r>
            <w:proofErr w:type="spellEnd"/>
            <w:r w:rsidRPr="006314FF">
              <w:rPr>
                <w:rFonts w:ascii="Arial" w:eastAsia="Times New Roman" w:hAnsi="Arial" w:cs="Arial"/>
                <w:color w:val="000000"/>
                <w:lang w:eastAsia="en-ZA"/>
              </w:rPr>
              <w:t xml:space="preserve"> Property Fund Limited in Relation to the Louis </w:t>
            </w:r>
            <w:proofErr w:type="spellStart"/>
            <w:r w:rsidRPr="006314FF">
              <w:rPr>
                <w:rFonts w:ascii="Arial" w:eastAsia="Times New Roman" w:hAnsi="Arial" w:cs="Arial"/>
                <w:color w:val="000000"/>
                <w:lang w:eastAsia="en-ZA"/>
              </w:rPr>
              <w:t>Liepoldt</w:t>
            </w:r>
            <w:proofErr w:type="spellEnd"/>
            <w:r w:rsidRPr="006314FF">
              <w:rPr>
                <w:rFonts w:ascii="Arial" w:eastAsia="Times New Roman" w:hAnsi="Arial" w:cs="Arial"/>
                <w:color w:val="000000"/>
                <w:lang w:eastAsia="en-ZA"/>
              </w:rPr>
              <w:t xml:space="preserve"> Private Hospital Property</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A82113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6ADC4AD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0DE3E80B"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0571B7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8C618A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Competition Commission And </w:t>
            </w:r>
            <w:proofErr w:type="spellStart"/>
            <w:r w:rsidRPr="006314FF">
              <w:rPr>
                <w:rFonts w:ascii="Arial" w:eastAsia="Times New Roman" w:hAnsi="Arial" w:cs="Arial"/>
                <w:color w:val="000000"/>
                <w:lang w:eastAsia="en-ZA"/>
              </w:rPr>
              <w:t>Raite</w:t>
            </w:r>
            <w:proofErr w:type="spellEnd"/>
            <w:r w:rsidRPr="006314FF">
              <w:rPr>
                <w:rFonts w:ascii="Arial" w:eastAsia="Times New Roman" w:hAnsi="Arial" w:cs="Arial"/>
                <w:color w:val="000000"/>
                <w:lang w:eastAsia="en-ZA"/>
              </w:rPr>
              <w:t xml:space="preserve"> security Services and Consulting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42AC5F9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1819" w:type="dxa"/>
            <w:tcBorders>
              <w:top w:val="nil"/>
              <w:left w:val="nil"/>
              <w:bottom w:val="single" w:sz="8" w:space="0" w:color="996633"/>
              <w:right w:val="single" w:sz="8" w:space="0" w:color="996633"/>
            </w:tcBorders>
            <w:hideMark/>
          </w:tcPr>
          <w:p w14:paraId="69DAE72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r w:rsidR="006314FF" w:rsidRPr="006314FF" w14:paraId="3FE5DA67"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B49AC0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459BE6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Competition Commission And Todays Destiny Trading and Project 81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11E9FC8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Settlement agreement</w:t>
            </w:r>
          </w:p>
        </w:tc>
        <w:tc>
          <w:tcPr>
            <w:tcW w:w="1819" w:type="dxa"/>
            <w:tcBorders>
              <w:top w:val="nil"/>
              <w:left w:val="nil"/>
              <w:bottom w:val="single" w:sz="8" w:space="0" w:color="996633"/>
              <w:right w:val="single" w:sz="8" w:space="0" w:color="996633"/>
            </w:tcBorders>
            <w:hideMark/>
          </w:tcPr>
          <w:p w14:paraId="5889F76C"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bl>
    <w:p w14:paraId="6FF87808"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2A21CA36"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p w14:paraId="6D57447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African Rainbow Capital and Global Asset Management approved </w:t>
      </w:r>
    </w:p>
    <w:p w14:paraId="6DD2094D" w14:textId="77777777" w:rsid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E4ABAC2" w14:textId="0A90BDE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has approved the merger of financial services company African Rainbow Capital and Global Asset Management, a firm active in the alternative energy business and rental of forklifts.</w:t>
      </w:r>
    </w:p>
    <w:p w14:paraId="63EB5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3816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African Rainbow Capital, a wholly owned subsidiary of </w:t>
      </w:r>
      <w:proofErr w:type="spellStart"/>
      <w:r w:rsidRPr="006314FF">
        <w:rPr>
          <w:rFonts w:ascii="Arial" w:eastAsia="Times New Roman" w:hAnsi="Arial" w:cs="Arial"/>
          <w:lang w:eastAsia="en-ZA"/>
        </w:rPr>
        <w:t>Ubunto-Botho</w:t>
      </w:r>
      <w:proofErr w:type="spellEnd"/>
      <w:r w:rsidRPr="006314FF">
        <w:rPr>
          <w:rFonts w:ascii="Arial" w:eastAsia="Times New Roman" w:hAnsi="Arial" w:cs="Arial"/>
          <w:lang w:eastAsia="en-ZA"/>
        </w:rPr>
        <w:t xml:space="preserve"> Investments (Pty) Ltd, is a diversified financial services investment company active in short-term insurance brokering, mortgage originator and financial services, as well as asset management.</w:t>
      </w:r>
    </w:p>
    <w:p w14:paraId="1DB87F7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w:t>
      </w:r>
    </w:p>
    <w:p w14:paraId="49FDCE8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xml:space="preserve">Target firm Global Asset Management is an investment holding company, and is active though its subsidiaries, GAM Industrial, GAM New Energy and GAM Business Solutions, in the investment and management of sustainable growth of alternative energy business, which includes </w:t>
      </w:r>
      <w:r w:rsidRPr="006314FF">
        <w:rPr>
          <w:rFonts w:ascii="Arial" w:eastAsia="Times New Roman" w:hAnsi="Arial" w:cs="Arial"/>
          <w:lang w:eastAsia="en-ZA"/>
        </w:rPr>
        <w:t xml:space="preserve">rubber recycling and energy efficiency projects, as well as the </w:t>
      </w:r>
      <w:r w:rsidRPr="006314FF">
        <w:rPr>
          <w:rFonts w:ascii="Arial" w:eastAsia="Times New Roman" w:hAnsi="Arial" w:cs="Arial"/>
          <w:lang w:val="en-GB" w:eastAsia="en-ZA"/>
        </w:rPr>
        <w:t>leasing of Linde forklift trucks.</w:t>
      </w:r>
    </w:p>
    <w:p w14:paraId="7CA3F1B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lastRenderedPageBreak/>
        <w:t xml:space="preserve">ARC intends to acquire 23.6% of the shares of GAM through a subscription of new shares in GAM, 46% of shares in </w:t>
      </w:r>
      <w:proofErr w:type="spellStart"/>
      <w:r w:rsidRPr="006314FF">
        <w:rPr>
          <w:rFonts w:ascii="Arial" w:eastAsia="Times New Roman" w:hAnsi="Arial" w:cs="Arial"/>
          <w:lang w:val="en-GB" w:eastAsia="en-ZA"/>
        </w:rPr>
        <w:t>Enviroprotek</w:t>
      </w:r>
      <w:proofErr w:type="spellEnd"/>
      <w:r w:rsidRPr="006314FF">
        <w:rPr>
          <w:rFonts w:ascii="Arial" w:eastAsia="Times New Roman" w:hAnsi="Arial" w:cs="Arial"/>
          <w:lang w:val="en-GB" w:eastAsia="en-ZA"/>
        </w:rPr>
        <w:t xml:space="preserve">, an indirect subsidiary of GAM. </w:t>
      </w:r>
      <w:proofErr w:type="gramStart"/>
      <w:r w:rsidRPr="006314FF">
        <w:rPr>
          <w:rFonts w:ascii="Arial" w:eastAsia="Times New Roman" w:hAnsi="Arial" w:cs="Arial"/>
          <w:lang w:val="en-GB" w:eastAsia="en-ZA"/>
        </w:rPr>
        <w:t>The majority of</w:t>
      </w:r>
      <w:proofErr w:type="gramEnd"/>
      <w:r w:rsidRPr="006314FF">
        <w:rPr>
          <w:rFonts w:ascii="Arial" w:eastAsia="Times New Roman" w:hAnsi="Arial" w:cs="Arial"/>
          <w:lang w:val="en-GB" w:eastAsia="en-ZA"/>
        </w:rPr>
        <w:t xml:space="preserve"> the voting rights in the pool relating to GAM in which certain other shareholders are participating and which shareholders together with ARC hold 50.67% of the total shares in GAM.</w:t>
      </w:r>
    </w:p>
    <w:p w14:paraId="387E279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A6077F" w14:textId="77777777" w:rsidR="006314FF" w:rsidRDefault="006314FF" w:rsidP="006314FF">
      <w:pPr>
        <w:spacing w:after="0" w:line="240" w:lineRule="auto"/>
        <w:jc w:val="both"/>
        <w:rPr>
          <w:rFonts w:ascii="Arial" w:eastAsia="Times New Roman" w:hAnsi="Arial" w:cs="Arial"/>
          <w:b/>
          <w:bCs/>
          <w:lang w:eastAsia="en-ZA"/>
        </w:rPr>
      </w:pPr>
    </w:p>
    <w:p w14:paraId="5AC0D731" w14:textId="2DBBCCA1"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EOH </w:t>
      </w:r>
      <w:proofErr w:type="spellStart"/>
      <w:r w:rsidRPr="006314FF">
        <w:rPr>
          <w:rFonts w:ascii="Arial" w:eastAsia="Times New Roman" w:hAnsi="Arial" w:cs="Arial"/>
          <w:b/>
          <w:bCs/>
          <w:lang w:eastAsia="en-ZA"/>
        </w:rPr>
        <w:t>Mthombo</w:t>
      </w:r>
      <w:proofErr w:type="spellEnd"/>
      <w:r w:rsidRPr="006314FF">
        <w:rPr>
          <w:rFonts w:ascii="Arial" w:eastAsia="Times New Roman" w:hAnsi="Arial" w:cs="Arial"/>
          <w:b/>
          <w:bCs/>
          <w:lang w:eastAsia="en-ZA"/>
        </w:rPr>
        <w:t xml:space="preserve"> and Mars Holdings approved </w:t>
      </w:r>
    </w:p>
    <w:p w14:paraId="330C53C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7AF614F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the merger of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wholly controlled by JSE-listed EOH Holdings, and Mars Holding, which provides traffic regulation and enforcement. Post-merger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will control Mars Holdings. </w:t>
      </w:r>
    </w:p>
    <w:p w14:paraId="4D8F194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05C89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EOH is an investment and management company which provides consulting, technology and outsourcing services. </w:t>
      </w:r>
    </w:p>
    <w:p w14:paraId="7C64C8A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1722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It is active in the developing business and the provision of IT services which </w:t>
      </w:r>
      <w:proofErr w:type="gramStart"/>
      <w:r w:rsidRPr="006314FF">
        <w:rPr>
          <w:rFonts w:ascii="Arial" w:eastAsia="Times New Roman" w:hAnsi="Arial" w:cs="Arial"/>
          <w:lang w:eastAsia="en-ZA"/>
        </w:rPr>
        <w:t>includes:</w:t>
      </w:r>
      <w:proofErr w:type="gramEnd"/>
      <w:r w:rsidRPr="006314FF">
        <w:rPr>
          <w:rFonts w:ascii="Arial" w:eastAsia="Times New Roman" w:hAnsi="Arial" w:cs="Arial"/>
          <w:lang w:eastAsia="en-ZA"/>
        </w:rPr>
        <w:t xml:space="preserve"> network solutions, hosting services, server support services, desktop support services, telephone services and procurement services. </w:t>
      </w:r>
    </w:p>
    <w:p w14:paraId="5433130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66D1E6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Mars, wholly owns </w:t>
      </w:r>
      <w:proofErr w:type="spellStart"/>
      <w:r w:rsidRPr="006314FF">
        <w:rPr>
          <w:rFonts w:ascii="Arial" w:eastAsia="Times New Roman" w:hAnsi="Arial" w:cs="Arial"/>
          <w:lang w:eastAsia="en-ZA"/>
        </w:rPr>
        <w:t>Syntell</w:t>
      </w:r>
      <w:proofErr w:type="spellEnd"/>
      <w:r w:rsidRPr="006314FF">
        <w:rPr>
          <w:rFonts w:ascii="Arial" w:eastAsia="Times New Roman" w:hAnsi="Arial" w:cs="Arial"/>
          <w:lang w:eastAsia="en-ZA"/>
        </w:rPr>
        <w:t xml:space="preserve"> (Pty) Ltd, which in turn controls seven firms. Mars provides services and solutions used in traffic regulation and enforcement. It provides an automated online interaction, revenue collection system and prepaid vending system used by municipalities and utilities.</w:t>
      </w:r>
    </w:p>
    <w:p w14:paraId="6335083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48A522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Some aspects of the agreement are still to be finalised, but they are apparently not material to the agreement. </w:t>
      </w:r>
    </w:p>
    <w:p w14:paraId="497D450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0EE327A" w14:textId="77777777" w:rsidR="006314FF" w:rsidRDefault="006314FF" w:rsidP="006314FF">
      <w:pPr>
        <w:spacing w:after="0" w:line="240" w:lineRule="auto"/>
        <w:jc w:val="both"/>
        <w:rPr>
          <w:rFonts w:ascii="Arial" w:eastAsia="Times New Roman" w:hAnsi="Arial" w:cs="Arial"/>
          <w:b/>
          <w:bCs/>
          <w:lang w:eastAsia="en-ZA"/>
        </w:rPr>
      </w:pPr>
    </w:p>
    <w:p w14:paraId="65CF0319" w14:textId="347A3FC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Stellar Capital Partners can merge with target Prescient Holdings</w:t>
      </w:r>
    </w:p>
    <w:p w14:paraId="51B6CE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D110E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Specialised financial services solution company Stellar Capital will acquire 60% of issued share capital of Prescient Holdings, such that Stellar Capital will control Prescient Holdings, after the Tribunal approved the merger subject to conditions. </w:t>
      </w:r>
    </w:p>
    <w:p w14:paraId="4259050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C219D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remaining 40% issued share capital will be held by Prescient Ltd management. </w:t>
      </w:r>
    </w:p>
    <w:p w14:paraId="6098A35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BE229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Simultaneously, with this transaction is a BEE transaction involving Stellar and Prescient Empowerment Trust (PET), wherein PET will acquire 10.1% of the entire issued shares in Prescient Holdings. This means that depending on the outcome of the BEE transaction, Stellar may only acquire 49.9%. </w:t>
      </w:r>
    </w:p>
    <w:p w14:paraId="4B4184E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B942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parties were seeking approval of both sole and alternatively joint control should the BEE transaction succeed. </w:t>
      </w:r>
    </w:p>
    <w:p w14:paraId="6E6B71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DDCB2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Stellar provides financial service solutions to firms in the information, communication, telecommunication and automotive repair industry. It also offers asset management services to institutional investors and corporate advisory services. </w:t>
      </w:r>
    </w:p>
    <w:p w14:paraId="19C69A1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3131E4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Prescient Holdings is a financial services firm that provides investment management, fund services and administration, stockbroking and wealth management, as well as retail and institutional retirement and insurance products.</w:t>
      </w:r>
    </w:p>
    <w:p w14:paraId="3F7E73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0F7B2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group controls various firms such as Prescient Investment Management, Prescient Fund Services and Prescient Life. </w:t>
      </w:r>
    </w:p>
    <w:p w14:paraId="79F570E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F9E6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lastRenderedPageBreak/>
        <w:t xml:space="preserve">The merger is expected to also lead to the creation of a new Black Economic Empowerment deal involving Prescient Empowerment Trust and the acquisition of shares. </w:t>
      </w:r>
    </w:p>
    <w:p w14:paraId="28FC46B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3280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merging parties are required to inform the Commission no later than 31 </w:t>
      </w:r>
      <w:proofErr w:type="gramStart"/>
      <w:r w:rsidRPr="006314FF">
        <w:rPr>
          <w:rFonts w:ascii="Arial" w:eastAsia="Times New Roman" w:hAnsi="Arial" w:cs="Arial"/>
          <w:lang w:eastAsia="en-ZA"/>
        </w:rPr>
        <w:t>January,</w:t>
      </w:r>
      <w:proofErr w:type="gramEnd"/>
      <w:r w:rsidRPr="006314FF">
        <w:rPr>
          <w:rFonts w:ascii="Arial" w:eastAsia="Times New Roman" w:hAnsi="Arial" w:cs="Arial"/>
          <w:lang w:eastAsia="en-ZA"/>
        </w:rPr>
        <w:t xml:space="preserve"> 2017 of implementation of this second leg of the deal. </w:t>
      </w:r>
    </w:p>
    <w:p w14:paraId="3972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701C237" w14:textId="77777777" w:rsidR="006314FF" w:rsidRDefault="006314FF" w:rsidP="006314FF">
      <w:pPr>
        <w:spacing w:after="0" w:line="240" w:lineRule="auto"/>
        <w:jc w:val="both"/>
        <w:rPr>
          <w:rFonts w:ascii="Arial" w:eastAsia="Times New Roman" w:hAnsi="Arial" w:cs="Arial"/>
          <w:b/>
          <w:bCs/>
          <w:lang w:eastAsia="en-ZA"/>
        </w:rPr>
      </w:pPr>
    </w:p>
    <w:p w14:paraId="0221FF9D" w14:textId="5D13431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Imperial Holdings Limited targets </w:t>
      </w:r>
      <w:proofErr w:type="spellStart"/>
      <w:r w:rsidRPr="006314FF">
        <w:rPr>
          <w:rFonts w:ascii="Arial" w:eastAsia="Times New Roman" w:hAnsi="Arial" w:cs="Arial"/>
          <w:b/>
          <w:bCs/>
          <w:lang w:eastAsia="en-ZA"/>
        </w:rPr>
        <w:t>Itumele</w:t>
      </w:r>
      <w:proofErr w:type="spellEnd"/>
      <w:r w:rsidRPr="006314FF">
        <w:rPr>
          <w:rFonts w:ascii="Arial" w:eastAsia="Times New Roman" w:hAnsi="Arial" w:cs="Arial"/>
          <w:b/>
          <w:bCs/>
          <w:lang w:eastAsia="en-ZA"/>
        </w:rPr>
        <w:t xml:space="preserve"> Bus Line (trading as Interstate) </w:t>
      </w:r>
    </w:p>
    <w:p w14:paraId="6D57C93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BCE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with conditions, the merger between Imperial Holdings and Interstate. </w:t>
      </w:r>
    </w:p>
    <w:p w14:paraId="258E2E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95788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is active in the provision of consumer and industrial logistics services, as well as motor vehicle retail and vehicle related financial products and services. It provides complete logistics solutions nationally including road freight and transport, managed logistics warehousing and distribution, and supply chain integration. </w:t>
      </w:r>
    </w:p>
    <w:p w14:paraId="333CDB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0AD95E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also operates car rental brands Tempest and Europcar in South Africa, as well as Auto Pedigree, the largest pre-owned vehicle dealer network. </w:t>
      </w:r>
    </w:p>
    <w:p w14:paraId="5E5BF67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90AF44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Target company, Interstate, is a commuter bus operation in the Free State Province, which operates on routes between Bloemfontein, Botshabelo, </w:t>
      </w:r>
      <w:proofErr w:type="spellStart"/>
      <w:r w:rsidRPr="006314FF">
        <w:rPr>
          <w:rFonts w:ascii="Arial" w:eastAsia="Times New Roman" w:hAnsi="Arial" w:cs="Arial"/>
          <w:lang w:eastAsia="en-ZA"/>
        </w:rPr>
        <w:t>Thaba</w:t>
      </w:r>
      <w:proofErr w:type="spellEnd"/>
      <w:r w:rsidRPr="006314FF">
        <w:rPr>
          <w:rFonts w:ascii="Arial" w:eastAsia="Times New Roman" w:hAnsi="Arial" w:cs="Arial"/>
          <w:lang w:eastAsia="en-ZA"/>
        </w:rPr>
        <w:t xml:space="preserve"> </w:t>
      </w:r>
      <w:proofErr w:type="spellStart"/>
      <w:r w:rsidRPr="006314FF">
        <w:rPr>
          <w:rFonts w:ascii="Arial" w:eastAsia="Times New Roman" w:hAnsi="Arial" w:cs="Arial"/>
          <w:lang w:eastAsia="en-ZA"/>
        </w:rPr>
        <w:t>Nchu</w:t>
      </w:r>
      <w:proofErr w:type="spellEnd"/>
      <w:r w:rsidRPr="006314FF">
        <w:rPr>
          <w:rFonts w:ascii="Arial" w:eastAsia="Times New Roman" w:hAnsi="Arial" w:cs="Arial"/>
          <w:lang w:eastAsia="en-ZA"/>
        </w:rPr>
        <w:t xml:space="preserve"> and outlying areas, as well as </w:t>
      </w:r>
      <w:proofErr w:type="spellStart"/>
      <w:r w:rsidRPr="006314FF">
        <w:rPr>
          <w:rFonts w:ascii="Arial" w:eastAsia="Times New Roman" w:hAnsi="Arial" w:cs="Arial"/>
          <w:lang w:eastAsia="en-ZA"/>
        </w:rPr>
        <w:t>Brandtfort</w:t>
      </w:r>
      <w:proofErr w:type="spellEnd"/>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Soutpan</w:t>
      </w:r>
      <w:proofErr w:type="spellEnd"/>
      <w:r w:rsidRPr="006314FF">
        <w:rPr>
          <w:rFonts w:ascii="Arial" w:eastAsia="Times New Roman" w:hAnsi="Arial" w:cs="Arial"/>
          <w:lang w:eastAsia="en-ZA"/>
        </w:rPr>
        <w:t xml:space="preserve">. Interstate owns 255 buses and undertakes 32000 trips over a month. </w:t>
      </w:r>
    </w:p>
    <w:p w14:paraId="0449C8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D8B3033" w14:textId="77777777" w:rsidR="006314FF" w:rsidRPr="006314FF" w:rsidRDefault="006314FF" w:rsidP="006314FF">
      <w:pPr>
        <w:spacing w:after="0" w:line="240" w:lineRule="auto"/>
        <w:jc w:val="both"/>
        <w:rPr>
          <w:rFonts w:ascii="Calibri" w:eastAsia="Times New Roman" w:hAnsi="Calibri" w:cs="Calibri"/>
          <w:lang w:val="en-US" w:eastAsia="en-ZA"/>
        </w:rPr>
      </w:pPr>
      <w:proofErr w:type="gramStart"/>
      <w:r w:rsidRPr="006314FF">
        <w:rPr>
          <w:rFonts w:ascii="Arial" w:eastAsia="Times New Roman" w:hAnsi="Arial" w:cs="Arial"/>
          <w:lang w:eastAsia="en-ZA"/>
        </w:rPr>
        <w:t>A number of</w:t>
      </w:r>
      <w:proofErr w:type="gramEnd"/>
      <w:r w:rsidRPr="006314FF">
        <w:rPr>
          <w:rFonts w:ascii="Arial" w:eastAsia="Times New Roman" w:hAnsi="Arial" w:cs="Arial"/>
          <w:lang w:eastAsia="en-ZA"/>
        </w:rPr>
        <w:t xml:space="preserve"> conditions have been added to the merger following negotiations at the hearing – see attachment for the deal regarding restraint of trade and restraint regarding operation in geographical areas. </w:t>
      </w:r>
    </w:p>
    <w:p w14:paraId="7FC4D9D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3DE5C14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said the barriers to entry in the bus sector was low and any employee could leave and start a bus company in the same province or nearby provinces. </w:t>
      </w:r>
    </w:p>
    <w:p w14:paraId="3233C4A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DC6D7DD" w14:textId="77777777" w:rsidR="006314FF" w:rsidRDefault="006314FF" w:rsidP="006314FF">
      <w:pPr>
        <w:spacing w:after="0" w:line="240" w:lineRule="auto"/>
        <w:jc w:val="both"/>
        <w:rPr>
          <w:rFonts w:ascii="Arial" w:eastAsia="Times New Roman" w:hAnsi="Arial" w:cs="Arial"/>
          <w:b/>
          <w:bCs/>
          <w:lang w:eastAsia="en-ZA"/>
        </w:rPr>
      </w:pPr>
    </w:p>
    <w:p w14:paraId="070B7BE2" w14:textId="2984914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Growthpoint Healthcare Property to acquire a hospital property from </w:t>
      </w:r>
      <w:proofErr w:type="spellStart"/>
      <w:r w:rsidRPr="006314FF">
        <w:rPr>
          <w:rFonts w:ascii="Arial" w:eastAsia="Times New Roman" w:hAnsi="Arial" w:cs="Arial"/>
          <w:b/>
          <w:bCs/>
          <w:lang w:eastAsia="en-ZA"/>
        </w:rPr>
        <w:t>Vukile</w:t>
      </w:r>
      <w:proofErr w:type="spellEnd"/>
      <w:r w:rsidRPr="006314FF">
        <w:rPr>
          <w:rFonts w:ascii="Arial" w:eastAsia="Times New Roman" w:hAnsi="Arial" w:cs="Arial"/>
          <w:b/>
          <w:bCs/>
          <w:lang w:eastAsia="en-ZA"/>
        </w:rPr>
        <w:t xml:space="preserve"> Property Fund </w:t>
      </w:r>
    </w:p>
    <w:p w14:paraId="5E9C385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2A0DA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Healthcare is to acquire Louis </w:t>
      </w:r>
      <w:proofErr w:type="spellStart"/>
      <w:r w:rsidRPr="006314FF">
        <w:rPr>
          <w:rFonts w:ascii="Arial" w:eastAsia="Times New Roman" w:hAnsi="Arial" w:cs="Arial"/>
          <w:lang w:eastAsia="en-ZA"/>
        </w:rPr>
        <w:t>Leipoldt</w:t>
      </w:r>
      <w:proofErr w:type="spellEnd"/>
      <w:r w:rsidRPr="006314FF">
        <w:rPr>
          <w:rFonts w:ascii="Arial" w:eastAsia="Times New Roman" w:hAnsi="Arial" w:cs="Arial"/>
          <w:lang w:eastAsia="en-ZA"/>
        </w:rPr>
        <w:t xml:space="preserve"> Private Hospital Property from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 xml:space="preserve"> Property Fund. The merger does not include any licence or any direct investment in the hospital. </w:t>
      </w:r>
    </w:p>
    <w:p w14:paraId="2A5B051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0DFA8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controls various firms such as Growth Point Building Managers, ABSEQ Properties, Growthpoint Healthcare Property Management Company. </w:t>
      </w:r>
    </w:p>
    <w:p w14:paraId="1F4408F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017AE5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owns and manages lettable retail, residential, office and hospital properties in Gauteng, Kwa-Zulu Natal, the Eastern Cape and Western Cape. Growthpoint presently owns three hospital properties, two located in Kwa-Zulu Natal and one located in Goodwood, Cape Town. </w:t>
      </w:r>
    </w:p>
    <w:p w14:paraId="778711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3AC14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Hospital Property </w:t>
      </w:r>
      <w:proofErr w:type="gramStart"/>
      <w:r w:rsidRPr="006314FF">
        <w:rPr>
          <w:rFonts w:ascii="Arial" w:eastAsia="Times New Roman" w:hAnsi="Arial" w:cs="Arial"/>
          <w:lang w:eastAsia="en-ZA"/>
        </w:rPr>
        <w:t>is located in</w:t>
      </w:r>
      <w:proofErr w:type="gramEnd"/>
      <w:r w:rsidRPr="006314FF">
        <w:rPr>
          <w:rFonts w:ascii="Arial" w:eastAsia="Times New Roman" w:hAnsi="Arial" w:cs="Arial"/>
          <w:lang w:eastAsia="en-ZA"/>
        </w:rPr>
        <w:t xml:space="preserve"> Belville, Cape Town and is owned by property company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w:t>
      </w:r>
    </w:p>
    <w:p w14:paraId="4B8E01F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1EF67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It was said the merger followed an international trend for hospitals to become operators and tenants, rather than owners of the property on which they were based.</w:t>
      </w:r>
    </w:p>
    <w:p w14:paraId="786A5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37CBA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lastRenderedPageBreak/>
        <w:t xml:space="preserve">Security firms </w:t>
      </w:r>
      <w:proofErr w:type="spellStart"/>
      <w:r w:rsidRPr="006314FF">
        <w:rPr>
          <w:rFonts w:ascii="Arial" w:eastAsia="Times New Roman" w:hAnsi="Arial" w:cs="Arial"/>
          <w:b/>
          <w:bCs/>
          <w:lang w:eastAsia="en-ZA"/>
        </w:rPr>
        <w:t>Raite</w:t>
      </w:r>
      <w:proofErr w:type="spellEnd"/>
      <w:r w:rsidRPr="006314FF">
        <w:rPr>
          <w:rFonts w:ascii="Arial" w:eastAsia="Times New Roman" w:hAnsi="Arial" w:cs="Arial"/>
          <w:b/>
          <w:bCs/>
          <w:lang w:eastAsia="en-ZA"/>
        </w:rPr>
        <w:t xml:space="preserve"> Security Services and Consulting CC and Today’s Destiny Trading admit to cartel activity</w:t>
      </w:r>
    </w:p>
    <w:p w14:paraId="02FB8F6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7B7FDE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confirmed the settlement agreements of Today’s Destiny</w:t>
      </w:r>
      <w:r w:rsidRPr="006314FF">
        <w:rPr>
          <w:rFonts w:ascii="Arial" w:eastAsia="Times New Roman" w:hAnsi="Arial" w:cs="Arial"/>
          <w:color w:val="000000"/>
          <w:lang w:eastAsia="en-ZA"/>
        </w:rPr>
        <w:t xml:space="preserve"> Security Services and Consulting CC</w:t>
      </w:r>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Security Services – both active in the security sector. </w:t>
      </w:r>
    </w:p>
    <w:p w14:paraId="3893C7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4C2443" w14:textId="77777777"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and Destiny colluded with regards to a tender issued by company Geoscience. The investigation was initiated by the Commission after it received a complaint by Geoscience. Geoscience had noticed that the respondents priced in </w:t>
      </w:r>
      <w:proofErr w:type="gramStart"/>
      <w:r w:rsidRPr="006314FF">
        <w:rPr>
          <w:rFonts w:ascii="Arial" w:eastAsia="Times New Roman" w:hAnsi="Arial" w:cs="Arial"/>
          <w:lang w:eastAsia="en-ZA"/>
        </w:rPr>
        <w:t>exactly the same</w:t>
      </w:r>
      <w:proofErr w:type="gramEnd"/>
      <w:r w:rsidRPr="006314FF">
        <w:rPr>
          <w:rFonts w:ascii="Arial" w:eastAsia="Times New Roman" w:hAnsi="Arial" w:cs="Arial"/>
          <w:lang w:eastAsia="en-ZA"/>
        </w:rPr>
        <w:t xml:space="preserve"> way, with both companies pricing for three years without asking for price escalation. Their contingency documents were also the same and the companies were sharing resources such as vehicles. </w:t>
      </w:r>
    </w:p>
    <w:p w14:paraId="3C17E79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C1D8AF6" w14:textId="30542F86"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the larger of the two companies is to pay a settlement of R1,593 820 and Destiny has agreed to pay R50000. Both administrative penalties amount to 2.1% of their annual turnover for the financial year ended February</w:t>
      </w:r>
      <w:bookmarkStart w:id="0" w:name="_GoBack"/>
      <w:bookmarkEnd w:id="0"/>
      <w:r w:rsidRPr="006314FF">
        <w:rPr>
          <w:rFonts w:ascii="Arial" w:eastAsia="Times New Roman" w:hAnsi="Arial" w:cs="Arial"/>
          <w:lang w:eastAsia="en-ZA"/>
        </w:rPr>
        <w:t xml:space="preserve"> 2016. The penalties relate to the bid rigging charges. </w:t>
      </w:r>
    </w:p>
    <w:p w14:paraId="1468F5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991C7B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Commission said took into consideration that this was a first offence for the companies, their cooperation and the fact that they were both small companies when applying the administrative penalty. </w:t>
      </w:r>
    </w:p>
    <w:p w14:paraId="08A681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6CABD4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CBC29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Issued by: </w:t>
      </w:r>
    </w:p>
    <w:p w14:paraId="55F5732C"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Chantelle Benjamin </w:t>
      </w:r>
    </w:p>
    <w:p w14:paraId="4450480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Communications: Competition Tribunal   </w:t>
      </w:r>
    </w:p>
    <w:p w14:paraId="56E84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(012)394 1383                                      </w:t>
      </w:r>
    </w:p>
    <w:p w14:paraId="2907E9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Cell: +27 (0) 73 007 5603  </w:t>
      </w:r>
    </w:p>
    <w:p w14:paraId="2F8FC8E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Twitter: @</w:t>
      </w:r>
      <w:proofErr w:type="spellStart"/>
      <w:r w:rsidRPr="006314FF">
        <w:rPr>
          <w:rFonts w:ascii="Arial" w:eastAsia="Times New Roman" w:hAnsi="Arial" w:cs="Arial"/>
          <w:color w:val="000000"/>
          <w:lang w:val="en-US" w:eastAsia="en-ZA"/>
        </w:rPr>
        <w:t>comptrib</w:t>
      </w:r>
      <w:proofErr w:type="spellEnd"/>
      <w:r w:rsidRPr="006314FF">
        <w:rPr>
          <w:rFonts w:ascii="Arial" w:eastAsia="Times New Roman" w:hAnsi="Arial" w:cs="Arial"/>
          <w:color w:val="000000"/>
          <w:lang w:val="en-US" w:eastAsia="en-ZA"/>
        </w:rPr>
        <w:t xml:space="preserve">                                        </w:t>
      </w:r>
    </w:p>
    <w:p w14:paraId="3A1A5FD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4" w:history="1">
        <w:r w:rsidRPr="006314FF">
          <w:rPr>
            <w:rFonts w:ascii="Arial" w:eastAsia="Times New Roman" w:hAnsi="Arial" w:cs="Arial"/>
            <w:color w:val="0563C1"/>
            <w:u w:val="single"/>
            <w:lang w:val="en-US" w:eastAsia="en-ZA"/>
          </w:rPr>
          <w:t>chantelleb@comptrib.co.za</w:t>
        </w:r>
      </w:hyperlink>
      <w:r w:rsidRPr="006314FF">
        <w:rPr>
          <w:rFonts w:ascii="Arial" w:eastAsia="Times New Roman" w:hAnsi="Arial" w:cs="Arial"/>
          <w:lang w:val="en-US" w:eastAsia="en-ZA"/>
        </w:rPr>
        <w:t xml:space="preserve"> </w:t>
      </w:r>
    </w:p>
    <w:p w14:paraId="20DC925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48E764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6FFC131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On Behalf Of:</w:t>
      </w:r>
    </w:p>
    <w:p w14:paraId="3475C2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Lerato Motaung                                                   </w:t>
      </w:r>
    </w:p>
    <w:p w14:paraId="24A380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Registrar: Competition Tribunal                                         </w:t>
      </w:r>
    </w:p>
    <w:p w14:paraId="2F80365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 394 3355                                              </w:t>
      </w:r>
    </w:p>
    <w:p w14:paraId="64B2920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Cell: +27 (0) 82 556 3221                                               </w:t>
      </w:r>
    </w:p>
    <w:p w14:paraId="31992D9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5" w:history="1">
        <w:r w:rsidRPr="006314FF">
          <w:rPr>
            <w:rFonts w:ascii="Arial" w:eastAsia="Times New Roman" w:hAnsi="Arial" w:cs="Arial"/>
            <w:color w:val="0563C1"/>
            <w:u w:val="single"/>
            <w:lang w:val="en-US" w:eastAsia="en-ZA"/>
          </w:rPr>
          <w:t>LeratoM@comptrib.co.za</w:t>
        </w:r>
      </w:hyperlink>
    </w:p>
    <w:p w14:paraId="5C77279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6237947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0948732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noProof/>
          <w:lang w:val="en-US" w:eastAsia="en-ZA"/>
        </w:rPr>
        <mc:AlternateContent>
          <mc:Choice Requires="wps">
            <w:drawing>
              <wp:inline distT="0" distB="0" distL="0" distR="0" wp14:anchorId="6B71FE4A" wp14:editId="0F356003">
                <wp:extent cx="3514725" cy="1552575"/>
                <wp:effectExtent l="0" t="0" r="0" b="0"/>
                <wp:docPr id="1" name="Rectangle 1" descr="chantelle fi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E79A9" id="Rectangle 1" o:spid="_x0000_s1026" alt="chantelle final" style="width:276.7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" filled="f" stroked="f">
                <o:lock v:ext="edit" aspectratio="t"/>
                <w10:anchorlock/>
              </v:rect>
            </w:pict>
          </mc:Fallback>
        </mc:AlternateContent>
      </w:r>
    </w:p>
    <w:p w14:paraId="3B77512D" w14:textId="77777777" w:rsidR="000B1AA8" w:rsidRDefault="000B1AA8" w:rsidP="006314FF">
      <w:pPr>
        <w:jc w:val="both"/>
      </w:pPr>
    </w:p>
    <w:sectPr w:rsidR="000B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FF"/>
    <w:rsid w:val="000145DD"/>
    <w:rsid w:val="000B1AA8"/>
    <w:rsid w:val="00615CA3"/>
    <w:rsid w:val="006314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608F"/>
  <w15:chartTrackingRefBased/>
  <w15:docId w15:val="{071CC1B8-4BEC-46F4-8C47-FCAC4C41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4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604">
      <w:bodyDiv w:val="1"/>
      <w:marLeft w:val="0"/>
      <w:marRight w:val="0"/>
      <w:marTop w:val="0"/>
      <w:marBottom w:val="0"/>
      <w:divBdr>
        <w:top w:val="none" w:sz="0" w:space="0" w:color="auto"/>
        <w:left w:val="none" w:sz="0" w:space="0" w:color="auto"/>
        <w:bottom w:val="none" w:sz="0" w:space="0" w:color="auto"/>
        <w:right w:val="none" w:sz="0" w:space="0" w:color="auto"/>
      </w:divBdr>
      <w:divsChild>
        <w:div w:id="1862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ratoM@comptrib.co.za" TargetMode="External"/><Relationship Id="rId4" Type="http://schemas.openxmlformats.org/officeDocument/2006/relationships/hyperlink" Target="mhtml:file://C:\Users\Gilliand\AppData\Local\Temp\BDY-717a8.mht!chantelleb@comptrib.co.za "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 Gouveia</dc:creator>
  <cp:keywords/>
  <dc:description/>
  <cp:lastModifiedBy>Gillian De Gouveia</cp:lastModifiedBy>
  <cp:revision>2</cp:revision>
  <dcterms:created xsi:type="dcterms:W3CDTF">2019-04-25T10:55:00Z</dcterms:created>
  <dcterms:modified xsi:type="dcterms:W3CDTF">2019-04-25T10:55:00Z</dcterms:modified>
</cp:coreProperties>
</file>