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A6E5E" w14:textId="77777777" w:rsidR="00AC26AF" w:rsidRPr="0025534C" w:rsidRDefault="00805712" w:rsidP="00805712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OUTCOME OF </w:t>
      </w:r>
      <w:r w:rsidR="00AC26AF" w:rsidRPr="0025534C">
        <w:rPr>
          <w:rFonts w:ascii="Arial" w:hAnsi="Arial" w:cs="Arial"/>
          <w:b/>
        </w:rPr>
        <w:t xml:space="preserve">TRIBUNAL ROLL FOR WEDNESDAY, </w:t>
      </w:r>
      <w:r w:rsidR="004E5AD7" w:rsidRPr="0025534C">
        <w:rPr>
          <w:rFonts w:ascii="Arial" w:hAnsi="Arial" w:cs="Arial"/>
          <w:b/>
        </w:rPr>
        <w:t xml:space="preserve">16 NOVEMBER </w:t>
      </w:r>
      <w:r w:rsidR="00AC26AF" w:rsidRPr="0025534C">
        <w:rPr>
          <w:rFonts w:ascii="Arial" w:hAnsi="Arial" w:cs="Arial"/>
          <w:b/>
        </w:rPr>
        <w:t>2016</w:t>
      </w:r>
    </w:p>
    <w:p w14:paraId="27F8E2FE" w14:textId="77777777" w:rsidR="00AC26AF" w:rsidRPr="0025534C" w:rsidRDefault="00AC26AF" w:rsidP="00AC26AF">
      <w:pPr>
        <w:spacing w:after="0" w:line="240" w:lineRule="auto"/>
        <w:jc w:val="both"/>
        <w:rPr>
          <w:rFonts w:ascii="Arial" w:hAnsi="Arial" w:cs="Arial"/>
          <w:b/>
        </w:rPr>
      </w:pPr>
    </w:p>
    <w:p w14:paraId="1228F1C2" w14:textId="77777777" w:rsidR="00AC26AF" w:rsidRPr="0025534C" w:rsidRDefault="00AC26AF" w:rsidP="00AC26AF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224" w:type="dxa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ook w:val="04A0" w:firstRow="1" w:lastRow="0" w:firstColumn="1" w:lastColumn="0" w:noHBand="0" w:noVBand="1"/>
      </w:tblPr>
      <w:tblGrid>
        <w:gridCol w:w="3153"/>
        <w:gridCol w:w="3198"/>
        <w:gridCol w:w="2873"/>
      </w:tblGrid>
      <w:tr w:rsidR="00AC26AF" w:rsidRPr="0025534C" w14:paraId="66AA380B" w14:textId="77777777" w:rsidTr="005A2535">
        <w:trPr>
          <w:trHeight w:val="972"/>
        </w:trPr>
        <w:tc>
          <w:tcPr>
            <w:tcW w:w="3153" w:type="dxa"/>
            <w:shd w:val="clear" w:color="auto" w:fill="996633"/>
          </w:tcPr>
          <w:p w14:paraId="47CF5DE4" w14:textId="77777777" w:rsidR="00AC26AF" w:rsidRPr="0025534C" w:rsidRDefault="00AC26AF" w:rsidP="005A2535">
            <w:pPr>
              <w:rPr>
                <w:rFonts w:ascii="Arial" w:hAnsi="Arial" w:cs="Arial"/>
                <w:color w:val="FFFFFF" w:themeColor="background1"/>
              </w:rPr>
            </w:pPr>
            <w:r w:rsidRPr="0025534C">
              <w:rPr>
                <w:rFonts w:ascii="Arial" w:hAnsi="Arial" w:cs="Arial"/>
                <w:color w:val="FFFFFF" w:themeColor="background1"/>
              </w:rPr>
              <w:t>Type of matter</w:t>
            </w:r>
          </w:p>
        </w:tc>
        <w:tc>
          <w:tcPr>
            <w:tcW w:w="3198" w:type="dxa"/>
            <w:shd w:val="clear" w:color="auto" w:fill="996633"/>
          </w:tcPr>
          <w:p w14:paraId="7951D96D" w14:textId="77777777" w:rsidR="00AC26AF" w:rsidRPr="0025534C" w:rsidRDefault="00AC26AF" w:rsidP="005A2535">
            <w:pPr>
              <w:rPr>
                <w:rFonts w:ascii="Arial" w:hAnsi="Arial" w:cs="Arial"/>
                <w:color w:val="FFFFFF" w:themeColor="background1"/>
              </w:rPr>
            </w:pPr>
            <w:r w:rsidRPr="0025534C">
              <w:rPr>
                <w:rFonts w:ascii="Arial" w:hAnsi="Arial" w:cs="Arial"/>
                <w:color w:val="FFFFFF" w:themeColor="background1"/>
              </w:rPr>
              <w:t>Parties involved</w:t>
            </w:r>
          </w:p>
        </w:tc>
        <w:tc>
          <w:tcPr>
            <w:tcW w:w="2873" w:type="dxa"/>
            <w:shd w:val="clear" w:color="auto" w:fill="996633"/>
          </w:tcPr>
          <w:p w14:paraId="540F367D" w14:textId="77777777" w:rsidR="00AC26AF" w:rsidRPr="0025534C" w:rsidRDefault="00AC26AF" w:rsidP="005A2535">
            <w:pPr>
              <w:rPr>
                <w:rFonts w:ascii="Arial" w:hAnsi="Arial" w:cs="Arial"/>
                <w:color w:val="FFFFFF" w:themeColor="background1"/>
              </w:rPr>
            </w:pPr>
            <w:r w:rsidRPr="0025534C">
              <w:rPr>
                <w:rFonts w:ascii="Arial" w:hAnsi="Arial" w:cs="Arial"/>
                <w:color w:val="FFFFFF" w:themeColor="background1"/>
              </w:rPr>
              <w:t>Competition Commission’s recommendation to Tribunal</w:t>
            </w:r>
          </w:p>
        </w:tc>
      </w:tr>
      <w:tr w:rsidR="00AC26AF" w:rsidRPr="0025534C" w14:paraId="1C1CBD91" w14:textId="77777777" w:rsidTr="005A2535">
        <w:trPr>
          <w:trHeight w:val="493"/>
        </w:trPr>
        <w:tc>
          <w:tcPr>
            <w:tcW w:w="3153" w:type="dxa"/>
          </w:tcPr>
          <w:p w14:paraId="2B34E7A6" w14:textId="77777777" w:rsidR="00AC26AF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 xml:space="preserve">Settlement agreement </w:t>
            </w:r>
          </w:p>
        </w:tc>
        <w:tc>
          <w:tcPr>
            <w:tcW w:w="3198" w:type="dxa"/>
          </w:tcPr>
          <w:p w14:paraId="27A78321" w14:textId="77777777" w:rsidR="00AC26AF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  <w:color w:val="000000"/>
              </w:rPr>
              <w:t xml:space="preserve">Competition Commission and </w:t>
            </w:r>
            <w:proofErr w:type="spellStart"/>
            <w:r w:rsidRPr="0025534C">
              <w:rPr>
                <w:rFonts w:ascii="Arial" w:hAnsi="Arial" w:cs="Arial"/>
                <w:color w:val="000000"/>
              </w:rPr>
              <w:t>Arcelormittal</w:t>
            </w:r>
            <w:proofErr w:type="spellEnd"/>
            <w:r w:rsidRPr="0025534C">
              <w:rPr>
                <w:rFonts w:ascii="Arial" w:hAnsi="Arial" w:cs="Arial"/>
                <w:color w:val="000000"/>
              </w:rPr>
              <w:t xml:space="preserve"> South Africa Ltd</w:t>
            </w:r>
          </w:p>
        </w:tc>
        <w:tc>
          <w:tcPr>
            <w:tcW w:w="2873" w:type="dxa"/>
          </w:tcPr>
          <w:p w14:paraId="605E48D3" w14:textId="77777777" w:rsidR="00AC26AF" w:rsidRPr="0025534C" w:rsidRDefault="009E1325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>Settlement agreement</w:t>
            </w:r>
          </w:p>
        </w:tc>
      </w:tr>
      <w:tr w:rsidR="00AC26AF" w:rsidRPr="0025534C" w14:paraId="42CC72BC" w14:textId="77777777" w:rsidTr="005A2535">
        <w:trPr>
          <w:trHeight w:val="70"/>
        </w:trPr>
        <w:tc>
          <w:tcPr>
            <w:tcW w:w="3153" w:type="dxa"/>
          </w:tcPr>
          <w:p w14:paraId="15A12145" w14:textId="77777777" w:rsidR="00AC26AF" w:rsidRPr="0025534C" w:rsidRDefault="004E5AD7" w:rsidP="004E5AD7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 xml:space="preserve">Variation order </w:t>
            </w:r>
          </w:p>
        </w:tc>
        <w:tc>
          <w:tcPr>
            <w:tcW w:w="3198" w:type="dxa"/>
          </w:tcPr>
          <w:p w14:paraId="61861361" w14:textId="77777777" w:rsidR="00AC26AF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  <w:color w:val="000000"/>
              </w:rPr>
              <w:t xml:space="preserve">Anheuser-Busch InBev SA/NV And Competition Commission; The Minister of Economic Development; Distell Group Ltd; Heineken South Africa (Pty) Ltd; Food and Allied Workers Union; Re </w:t>
            </w:r>
            <w:proofErr w:type="spellStart"/>
            <w:r w:rsidRPr="0025534C">
              <w:rPr>
                <w:rFonts w:ascii="Arial" w:hAnsi="Arial" w:cs="Arial"/>
                <w:color w:val="000000"/>
              </w:rPr>
              <w:t>Ja</w:t>
            </w:r>
            <w:proofErr w:type="spellEnd"/>
            <w:r w:rsidRPr="0025534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534C">
              <w:rPr>
                <w:rFonts w:ascii="Arial" w:hAnsi="Arial" w:cs="Arial"/>
                <w:color w:val="000000"/>
              </w:rPr>
              <w:t>Rotlhe</w:t>
            </w:r>
            <w:proofErr w:type="spellEnd"/>
            <w:r w:rsidRPr="0025534C">
              <w:rPr>
                <w:rFonts w:ascii="Arial" w:hAnsi="Arial" w:cs="Arial"/>
                <w:color w:val="000000"/>
              </w:rPr>
              <w:t xml:space="preserve"> Taverners Association; South African SMME Forum; Agency for New Agenda and Black Business Forum; Grain SA</w:t>
            </w:r>
          </w:p>
        </w:tc>
        <w:tc>
          <w:tcPr>
            <w:tcW w:w="2873" w:type="dxa"/>
          </w:tcPr>
          <w:p w14:paraId="6FA25CBB" w14:textId="77777777" w:rsidR="00AC26AF" w:rsidRPr="0025534C" w:rsidRDefault="009E1325" w:rsidP="005A2535">
            <w:pPr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 xml:space="preserve">Variation order </w:t>
            </w:r>
          </w:p>
        </w:tc>
      </w:tr>
      <w:tr w:rsidR="004E5AD7" w:rsidRPr="0025534C" w14:paraId="415C9D6E" w14:textId="77777777" w:rsidTr="005A2535">
        <w:trPr>
          <w:trHeight w:val="70"/>
        </w:trPr>
        <w:tc>
          <w:tcPr>
            <w:tcW w:w="3153" w:type="dxa"/>
          </w:tcPr>
          <w:p w14:paraId="385A796E" w14:textId="77777777" w:rsidR="004E5AD7" w:rsidRPr="0025534C" w:rsidRDefault="004E5AD7" w:rsidP="004E5AD7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98" w:type="dxa"/>
          </w:tcPr>
          <w:p w14:paraId="01F1305B" w14:textId="77777777" w:rsidR="004E5AD7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  <w:color w:val="000000"/>
              </w:rPr>
              <w:t xml:space="preserve">Unitrans Automotive No 1 And </w:t>
            </w:r>
            <w:proofErr w:type="spellStart"/>
            <w:r w:rsidRPr="0025534C">
              <w:rPr>
                <w:rFonts w:ascii="Arial" w:hAnsi="Arial" w:cs="Arial"/>
                <w:color w:val="000000"/>
              </w:rPr>
              <w:t>Koos</w:t>
            </w:r>
            <w:proofErr w:type="spellEnd"/>
            <w:r w:rsidRPr="0025534C">
              <w:rPr>
                <w:rFonts w:ascii="Arial" w:hAnsi="Arial" w:cs="Arial"/>
                <w:color w:val="000000"/>
              </w:rPr>
              <w:t xml:space="preserve"> Nel Group Comprising Nel Auto (Pty) Ltd</w:t>
            </w:r>
          </w:p>
        </w:tc>
        <w:tc>
          <w:tcPr>
            <w:tcW w:w="2873" w:type="dxa"/>
          </w:tcPr>
          <w:p w14:paraId="1CD8B9CD" w14:textId="77777777" w:rsidR="004E5AD7" w:rsidRPr="0025534C" w:rsidRDefault="009C51C3" w:rsidP="005A2535">
            <w:pPr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>Approval without conditions</w:t>
            </w:r>
          </w:p>
        </w:tc>
      </w:tr>
      <w:tr w:rsidR="004E5AD7" w:rsidRPr="0025534C" w14:paraId="5E921DFD" w14:textId="77777777" w:rsidTr="005A2535">
        <w:trPr>
          <w:trHeight w:val="70"/>
        </w:trPr>
        <w:tc>
          <w:tcPr>
            <w:tcW w:w="3153" w:type="dxa"/>
          </w:tcPr>
          <w:p w14:paraId="19105908" w14:textId="77777777" w:rsidR="004E5AD7" w:rsidRPr="0025534C" w:rsidRDefault="004E5AD7" w:rsidP="004E5AD7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98" w:type="dxa"/>
          </w:tcPr>
          <w:p w14:paraId="23345A1B" w14:textId="77777777" w:rsidR="004E5AD7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  <w:color w:val="000000"/>
              </w:rPr>
              <w:t xml:space="preserve">FPT Group (Pty) Ltd and </w:t>
            </w:r>
            <w:proofErr w:type="spellStart"/>
            <w:r w:rsidRPr="0025534C">
              <w:rPr>
                <w:rFonts w:ascii="Arial" w:hAnsi="Arial" w:cs="Arial"/>
                <w:color w:val="000000"/>
              </w:rPr>
              <w:t>Tradekor</w:t>
            </w:r>
            <w:proofErr w:type="spellEnd"/>
            <w:r w:rsidRPr="0025534C">
              <w:rPr>
                <w:rFonts w:ascii="Arial" w:hAnsi="Arial" w:cs="Arial"/>
                <w:color w:val="000000"/>
              </w:rPr>
              <w:t xml:space="preserve"> Holdings (Pty) Ltd</w:t>
            </w:r>
          </w:p>
        </w:tc>
        <w:tc>
          <w:tcPr>
            <w:tcW w:w="2873" w:type="dxa"/>
          </w:tcPr>
          <w:p w14:paraId="2A717B40" w14:textId="77777777" w:rsidR="004E5AD7" w:rsidRPr="0025534C" w:rsidRDefault="0025534C" w:rsidP="005A25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Approval without conditions </w:t>
            </w:r>
          </w:p>
        </w:tc>
      </w:tr>
      <w:tr w:rsidR="004E5AD7" w:rsidRPr="0025534C" w14:paraId="1D523425" w14:textId="77777777" w:rsidTr="005A2535">
        <w:trPr>
          <w:trHeight w:val="70"/>
        </w:trPr>
        <w:tc>
          <w:tcPr>
            <w:tcW w:w="3153" w:type="dxa"/>
          </w:tcPr>
          <w:p w14:paraId="269567A6" w14:textId="77777777" w:rsidR="004E5AD7" w:rsidRPr="0025534C" w:rsidRDefault="004E5AD7" w:rsidP="004E5AD7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>Large merger</w:t>
            </w:r>
          </w:p>
        </w:tc>
        <w:tc>
          <w:tcPr>
            <w:tcW w:w="3198" w:type="dxa"/>
          </w:tcPr>
          <w:p w14:paraId="4CB624FE" w14:textId="77777777" w:rsidR="004E5AD7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  <w:color w:val="000000"/>
              </w:rPr>
              <w:t>Redefine Properties Ltd And Pivotal Fund Ltd</w:t>
            </w:r>
          </w:p>
        </w:tc>
        <w:tc>
          <w:tcPr>
            <w:tcW w:w="2873" w:type="dxa"/>
          </w:tcPr>
          <w:p w14:paraId="02B60E60" w14:textId="77777777" w:rsidR="004E5AD7" w:rsidRPr="0025534C" w:rsidRDefault="00927D04" w:rsidP="005A2535">
            <w:pPr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>Approval without conditions</w:t>
            </w:r>
          </w:p>
        </w:tc>
      </w:tr>
      <w:tr w:rsidR="004E5AD7" w:rsidRPr="0025534C" w14:paraId="384B34FC" w14:textId="77777777" w:rsidTr="005A2535">
        <w:trPr>
          <w:trHeight w:val="70"/>
        </w:trPr>
        <w:tc>
          <w:tcPr>
            <w:tcW w:w="3153" w:type="dxa"/>
          </w:tcPr>
          <w:p w14:paraId="75A73CEB" w14:textId="77777777" w:rsidR="004E5AD7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98" w:type="dxa"/>
          </w:tcPr>
          <w:p w14:paraId="2BD8ED2C" w14:textId="77777777" w:rsidR="004E5AD7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  <w:color w:val="000000"/>
              </w:rPr>
              <w:t>EOH Intelligent Infrastructure (Pty) Ltd And PIA Solar SA (Pty) Ltd</w:t>
            </w:r>
          </w:p>
        </w:tc>
        <w:tc>
          <w:tcPr>
            <w:tcW w:w="2873" w:type="dxa"/>
          </w:tcPr>
          <w:p w14:paraId="3C0F76BE" w14:textId="77777777" w:rsidR="004E5AD7" w:rsidRPr="0025534C" w:rsidRDefault="009C51C3" w:rsidP="005A2535">
            <w:pPr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 xml:space="preserve">Approval without conditions </w:t>
            </w:r>
          </w:p>
        </w:tc>
      </w:tr>
    </w:tbl>
    <w:p w14:paraId="383C78D8" w14:textId="77777777" w:rsidR="00AC26AF" w:rsidRPr="0025534C" w:rsidRDefault="00AC26AF" w:rsidP="00AC26A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02F4D362" w14:textId="77777777" w:rsidR="008D3A3F" w:rsidRDefault="008D3A3F" w:rsidP="004E5AD7">
      <w:pPr>
        <w:contextualSpacing/>
        <w:jc w:val="both"/>
        <w:rPr>
          <w:rFonts w:ascii="Arial" w:hAnsi="Arial" w:cs="Arial"/>
          <w:b/>
        </w:rPr>
      </w:pPr>
      <w:r w:rsidRPr="0025534C">
        <w:rPr>
          <w:rFonts w:ascii="Arial" w:hAnsi="Arial" w:cs="Arial"/>
          <w:b/>
        </w:rPr>
        <w:t xml:space="preserve">Variation to </w:t>
      </w:r>
      <w:proofErr w:type="spellStart"/>
      <w:r w:rsidR="004E5AD7" w:rsidRPr="0025534C">
        <w:rPr>
          <w:rFonts w:ascii="Arial" w:hAnsi="Arial" w:cs="Arial"/>
          <w:b/>
        </w:rPr>
        <w:t>Acelormittal</w:t>
      </w:r>
      <w:proofErr w:type="spellEnd"/>
      <w:r w:rsidRPr="0025534C">
        <w:rPr>
          <w:rFonts w:ascii="Arial" w:hAnsi="Arial" w:cs="Arial"/>
          <w:b/>
        </w:rPr>
        <w:t xml:space="preserve"> settlement agreement </w:t>
      </w:r>
      <w:r w:rsidR="00D6488B">
        <w:rPr>
          <w:rFonts w:ascii="Arial" w:hAnsi="Arial" w:cs="Arial"/>
          <w:b/>
        </w:rPr>
        <w:t xml:space="preserve">approved </w:t>
      </w:r>
    </w:p>
    <w:p w14:paraId="055E1313" w14:textId="77777777" w:rsidR="001844F8" w:rsidRDefault="001844F8" w:rsidP="00D6488B">
      <w:pPr>
        <w:rPr>
          <w:rFonts w:ascii="Arial" w:hAnsi="Arial" w:cs="Arial"/>
          <w:b/>
        </w:rPr>
      </w:pPr>
    </w:p>
    <w:p w14:paraId="050E636D" w14:textId="77777777" w:rsid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  <w:lang w:val="en-US"/>
        </w:rPr>
      </w:pPr>
      <w:r>
        <w:rPr>
          <w:rFonts w:ascii="Arial" w:eastAsia="Times New Roman" w:hAnsi="Arial" w:cs="Arial"/>
          <w:color w:val="000000"/>
        </w:rPr>
        <w:t>The Tribunal has confirmed the settlement agreement between the Competition Commission and ArcelorMittal South Africa Ltd (“ArcelorMittal”), but has made two amendments.</w:t>
      </w:r>
    </w:p>
    <w:p w14:paraId="1408F474" w14:textId="77777777" w:rsid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</w:rPr>
        <w:t xml:space="preserve">The Competition Commission reached a settlement agreement with ArcelorMittal South Africa Limited on 22 August 2016. In terms of the agreement,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admitted having been involved in the long steel and scrap metal cartels, and agreed to pay an administrative penalty of R1.5 billion.</w:t>
      </w:r>
    </w:p>
    <w:p w14:paraId="3696C2A3" w14:textId="77777777" w:rsid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agreed to remedies relating to complaints against its pricing conduct without admitting that its pricing conduct constituted a contravention of the Competition Act. In this regard,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has undertaken that for a period of five years it will limit its EBIT (earnings before interest and tax) margin to a cap of 10% for flat steel products sold in South Africa.  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also committed to a R4.6 billion capital expenditure over the next five years. The Commission, in turn, agreed that the settlement would cover all pending cases against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>, including those that were still under investigation.</w:t>
      </w:r>
    </w:p>
    <w:p w14:paraId="50B5B883" w14:textId="77777777" w:rsid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</w:rPr>
        <w:lastRenderedPageBreak/>
        <w:t xml:space="preserve">In the agreement confirmed on Wednesday, 16 November the Tribunal removed a clause that contained as a condition that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be entitled to exceed the EBIT margin percentage cap of 10% up to a maximum EBIT margin percentage gap of 15% if the Raw Materials Basket has been or is forecast (based on </w:t>
      </w:r>
      <w:proofErr w:type="spellStart"/>
      <w:r>
        <w:rPr>
          <w:rFonts w:ascii="Arial" w:eastAsia="Times New Roman" w:hAnsi="Arial" w:cs="Arial"/>
          <w:color w:val="000000"/>
        </w:rPr>
        <w:t>AcelorMittal’s</w:t>
      </w:r>
      <w:proofErr w:type="spellEnd"/>
      <w:r>
        <w:rPr>
          <w:rFonts w:ascii="Arial" w:eastAsia="Times New Roman" w:hAnsi="Arial" w:cs="Arial"/>
          <w:color w:val="000000"/>
        </w:rPr>
        <w:t xml:space="preserve"> forecasts) to be exceeded USD350 per ton for any three months.</w:t>
      </w:r>
    </w:p>
    <w:p w14:paraId="66745680" w14:textId="77777777" w:rsid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</w:rPr>
        <w:t>A new clause was also inserted that says: “AMSA undertakes to engage in any future exchange with government departments and interested stakeholders regarding the promotion of steel imports, including risks of anti-dumping duties on such exports, in an open and transparent manner, subject always to compliance with the Competition Act”.</w:t>
      </w:r>
    </w:p>
    <w:p w14:paraId="18274F55" w14:textId="77777777" w:rsid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</w:rPr>
        <w:t xml:space="preserve">In addition,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committed to a R4.6 billion capital expenditure over the next five years. The Commission, in turn, agreed that the settlement would cover all pending cases against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>, including those that were still under investigation.</w:t>
      </w:r>
    </w:p>
    <w:p w14:paraId="371B39C2" w14:textId="77777777" w:rsidR="00D6488B" w:rsidRP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</w:rPr>
        <w:t> Cases in the amended settlement agreement are:</w:t>
      </w:r>
    </w:p>
    <w:p w14:paraId="2A83A510" w14:textId="77777777" w:rsidR="00D6488B" w:rsidRDefault="00D6488B" w:rsidP="00D6488B">
      <w:pPr>
        <w:ind w:hanging="360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ymbol" w:eastAsia="Times New Roman" w:hAnsi="Symbol"/>
          <w:color w:val="000000"/>
        </w:rPr>
        <w:t></w:t>
      </w:r>
      <w:r>
        <w:rPr>
          <w:rFonts w:ascii="Symbol" w:eastAsia="Times New Roman"/>
          <w:color w:val="000000"/>
        </w:rPr>
        <w:t>     </w:t>
      </w:r>
      <w:r>
        <w:rPr>
          <w:rFonts w:ascii="Arial" w:eastAsia="Times New Roman" w:hAnsi="Arial" w:cs="Arial"/>
          <w:color w:val="000000"/>
        </w:rPr>
        <w:t xml:space="preserve">The flat steel complaint – in which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and Highveld reached an understanding on volume of exported goods to certain countries, dividing export sales volumes.</w:t>
      </w:r>
    </w:p>
    <w:p w14:paraId="17602BA2" w14:textId="77777777" w:rsidR="00D6488B" w:rsidRDefault="00D6488B" w:rsidP="00D6488B">
      <w:pPr>
        <w:ind w:hanging="360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ymbol" w:eastAsia="Times New Roman" w:hAnsi="Symbol"/>
          <w:color w:val="000000"/>
        </w:rPr>
        <w:t></w:t>
      </w:r>
      <w:r>
        <w:rPr>
          <w:rFonts w:ascii="Symbol" w:eastAsia="Times New Roman"/>
          <w:color w:val="000000"/>
        </w:rPr>
        <w:t>     </w:t>
      </w:r>
      <w:r>
        <w:rPr>
          <w:rFonts w:ascii="Arial" w:eastAsia="Times New Roman" w:hAnsi="Arial" w:cs="Arial"/>
          <w:color w:val="000000"/>
        </w:rPr>
        <w:t xml:space="preserve">The long steel complaint – found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had exchanged information regarding selling prices and discount prices, reached agreements on pricing for certain products and divided up markets.</w:t>
      </w:r>
    </w:p>
    <w:p w14:paraId="5F76B101" w14:textId="77777777" w:rsidR="00D6488B" w:rsidRDefault="00D6488B" w:rsidP="00D6488B">
      <w:pPr>
        <w:ind w:hanging="360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ymbol" w:eastAsia="Times New Roman" w:hAnsi="Symbol"/>
          <w:color w:val="000000"/>
        </w:rPr>
        <w:t></w:t>
      </w:r>
      <w:r>
        <w:rPr>
          <w:rFonts w:ascii="Symbol" w:eastAsia="Times New Roman"/>
          <w:color w:val="000000"/>
        </w:rPr>
        <w:t>      </w:t>
      </w:r>
      <w:r>
        <w:rPr>
          <w:rFonts w:ascii="Arial" w:eastAsia="Times New Roman" w:hAnsi="Arial" w:cs="Arial"/>
          <w:color w:val="000000"/>
        </w:rPr>
        <w:t xml:space="preserve">Scrap metal complaint –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>, along with Columbus stainless steel, Cape Gate and SCAW South Africa had acted as a buyers’ cartel, collaborated and acted in tandem with upstream cartel of scrap merchants, among other contraventions.</w:t>
      </w:r>
    </w:p>
    <w:p w14:paraId="67715452" w14:textId="77777777" w:rsidR="00D6488B" w:rsidRDefault="00D6488B" w:rsidP="00D6488B">
      <w:pPr>
        <w:ind w:hanging="360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ymbol" w:eastAsia="Times New Roman" w:hAnsi="Symbol"/>
          <w:color w:val="000000"/>
        </w:rPr>
        <w:t></w:t>
      </w:r>
      <w:r>
        <w:rPr>
          <w:rFonts w:ascii="Symbol" w:eastAsia="Times New Roman"/>
          <w:color w:val="000000"/>
        </w:rPr>
        <w:t>     </w:t>
      </w:r>
      <w:r>
        <w:rPr>
          <w:rFonts w:ascii="Arial" w:eastAsia="Times New Roman" w:hAnsi="Arial" w:cs="Arial"/>
          <w:color w:val="000000"/>
        </w:rPr>
        <w:t>Excessive pricing case – the Commission has yet to make a finding on the matter.</w:t>
      </w:r>
    </w:p>
    <w:p w14:paraId="01BCA948" w14:textId="77777777" w:rsid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</w:rPr>
        <w:t xml:space="preserve">The settlement excludes complaints submitted to the Competition Commission by Barnes and </w:t>
      </w:r>
      <w:proofErr w:type="spellStart"/>
      <w:r>
        <w:rPr>
          <w:rFonts w:ascii="Arial" w:eastAsia="Times New Roman" w:hAnsi="Arial" w:cs="Arial"/>
          <w:color w:val="000000"/>
        </w:rPr>
        <w:t>Dunrose</w:t>
      </w:r>
      <w:proofErr w:type="spellEnd"/>
      <w:r>
        <w:rPr>
          <w:rFonts w:ascii="Arial" w:eastAsia="Times New Roman" w:hAnsi="Arial" w:cs="Arial"/>
          <w:color w:val="000000"/>
        </w:rPr>
        <w:t xml:space="preserve">. Barnes and </w:t>
      </w:r>
      <w:proofErr w:type="spellStart"/>
      <w:r>
        <w:rPr>
          <w:rFonts w:ascii="Arial" w:eastAsia="Times New Roman" w:hAnsi="Arial" w:cs="Arial"/>
          <w:color w:val="000000"/>
        </w:rPr>
        <w:t>Dunrose</w:t>
      </w:r>
      <w:proofErr w:type="spellEnd"/>
      <w:r>
        <w:rPr>
          <w:rFonts w:ascii="Arial" w:eastAsia="Times New Roman" w:hAnsi="Arial" w:cs="Arial"/>
          <w:color w:val="000000"/>
        </w:rPr>
        <w:t xml:space="preserve"> said on Wednesday 16 November that it reserves its right to bring a review application of the agreement.</w:t>
      </w:r>
    </w:p>
    <w:p w14:paraId="3DB6DA51" w14:textId="77777777" w:rsidR="004E5AD7" w:rsidRDefault="00651605" w:rsidP="004E5AD7">
      <w:pPr>
        <w:contextualSpacing/>
        <w:jc w:val="both"/>
        <w:rPr>
          <w:rFonts w:ascii="Arial" w:hAnsi="Arial" w:cs="Arial"/>
          <w:b/>
        </w:rPr>
      </w:pPr>
      <w:r w:rsidRPr="0025534C">
        <w:rPr>
          <w:rFonts w:ascii="Arial" w:hAnsi="Arial" w:cs="Arial"/>
          <w:b/>
        </w:rPr>
        <w:t xml:space="preserve">Variation to order involving merger </w:t>
      </w:r>
      <w:r w:rsidR="008D3A3F" w:rsidRPr="0025534C">
        <w:rPr>
          <w:rFonts w:ascii="Arial" w:hAnsi="Arial" w:cs="Arial"/>
          <w:b/>
        </w:rPr>
        <w:t xml:space="preserve">Anheuser Busch InBev SA/NV </w:t>
      </w:r>
      <w:r w:rsidRPr="0025534C">
        <w:rPr>
          <w:rFonts w:ascii="Arial" w:hAnsi="Arial" w:cs="Arial"/>
          <w:b/>
        </w:rPr>
        <w:t>and SAB Miller Plc</w:t>
      </w:r>
      <w:r w:rsidR="00062DA0">
        <w:rPr>
          <w:rFonts w:ascii="Arial" w:hAnsi="Arial" w:cs="Arial"/>
          <w:b/>
        </w:rPr>
        <w:t xml:space="preserve"> approved</w:t>
      </w:r>
    </w:p>
    <w:p w14:paraId="2AE220E2" w14:textId="77777777" w:rsidR="002875B3" w:rsidRPr="0025534C" w:rsidRDefault="002875B3" w:rsidP="004E5AD7">
      <w:pPr>
        <w:contextualSpacing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</w:rPr>
        <w:t xml:space="preserve">(Note: a copy of the original agreement can be found on </w:t>
      </w:r>
      <w:hyperlink r:id="rId5" w:history="1">
        <w:r w:rsidRPr="00A43698">
          <w:rPr>
            <w:rStyle w:val="Hyperlink"/>
            <w:rFonts w:ascii="Arial" w:hAnsi="Arial" w:cs="Arial"/>
            <w:b/>
          </w:rPr>
          <w:t>www.comptrib.co.za</w:t>
        </w:r>
      </w:hyperlink>
      <w:r>
        <w:rPr>
          <w:rFonts w:ascii="Arial" w:hAnsi="Arial" w:cs="Arial"/>
          <w:b/>
        </w:rPr>
        <w:t xml:space="preserve">) </w:t>
      </w:r>
    </w:p>
    <w:p w14:paraId="40144535" w14:textId="77777777" w:rsidR="004E5AD7" w:rsidRPr="0025534C" w:rsidRDefault="004E5AD7" w:rsidP="004E5AD7">
      <w:pPr>
        <w:contextualSpacing/>
        <w:jc w:val="both"/>
        <w:rPr>
          <w:rFonts w:ascii="Arial" w:hAnsi="Arial" w:cs="Arial"/>
          <w:b/>
          <w:bCs/>
        </w:rPr>
      </w:pPr>
    </w:p>
    <w:p w14:paraId="64AFEA8D" w14:textId="77777777" w:rsidR="009B3A60" w:rsidRDefault="002875B3" w:rsidP="004E5AD7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Tribunal has approved amendments to certain clauses of the </w:t>
      </w:r>
      <w:r w:rsidR="009B3A60" w:rsidRPr="0025534C">
        <w:rPr>
          <w:rFonts w:ascii="Arial" w:hAnsi="Arial" w:cs="Arial"/>
          <w:bCs/>
        </w:rPr>
        <w:t xml:space="preserve">Anheuser-Busch InBev and SABMiller </w:t>
      </w:r>
      <w:r>
        <w:rPr>
          <w:rFonts w:ascii="Arial" w:hAnsi="Arial" w:cs="Arial"/>
          <w:bCs/>
        </w:rPr>
        <w:t xml:space="preserve">conditions to the merger. None of the parties listed as respondents in the main hearing (listed in table above) have objected to the variation. </w:t>
      </w:r>
    </w:p>
    <w:p w14:paraId="4BC61D6E" w14:textId="77777777" w:rsidR="002875B3" w:rsidRPr="0025534C" w:rsidRDefault="002875B3" w:rsidP="004E5AD7">
      <w:pPr>
        <w:contextualSpacing/>
        <w:jc w:val="both"/>
        <w:rPr>
          <w:rFonts w:ascii="Arial" w:hAnsi="Arial" w:cs="Arial"/>
          <w:bCs/>
        </w:rPr>
      </w:pPr>
    </w:p>
    <w:p w14:paraId="0A63E89F" w14:textId="77777777" w:rsidR="009B3A60" w:rsidRPr="0025534C" w:rsidRDefault="002875B3" w:rsidP="002875B3">
      <w:pPr>
        <w:tabs>
          <w:tab w:val="left" w:pos="9214"/>
        </w:tabs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amendments include </w:t>
      </w:r>
      <w:r w:rsidR="004E6E13" w:rsidRPr="0025534C">
        <w:rPr>
          <w:rFonts w:ascii="Arial" w:hAnsi="Arial" w:cs="Arial"/>
          <w:bCs/>
        </w:rPr>
        <w:t xml:space="preserve">17.1.1, </w:t>
      </w:r>
      <w:r>
        <w:rPr>
          <w:rFonts w:ascii="Arial" w:hAnsi="Arial" w:cs="Arial"/>
          <w:bCs/>
        </w:rPr>
        <w:t xml:space="preserve">which deals </w:t>
      </w:r>
      <w:r w:rsidR="004E6E13" w:rsidRPr="0025534C">
        <w:rPr>
          <w:rFonts w:ascii="Arial" w:hAnsi="Arial" w:cs="Arial"/>
          <w:bCs/>
        </w:rPr>
        <w:t>with the</w:t>
      </w:r>
      <w:r>
        <w:rPr>
          <w:rFonts w:ascii="Arial" w:hAnsi="Arial" w:cs="Arial"/>
          <w:bCs/>
        </w:rPr>
        <w:t xml:space="preserve"> agricultural development funds. It originally said </w:t>
      </w:r>
      <w:r w:rsidR="004E6E13" w:rsidRPr="0025534C">
        <w:rPr>
          <w:rFonts w:ascii="Arial" w:hAnsi="Arial" w:cs="Arial"/>
          <w:bCs/>
        </w:rPr>
        <w:t xml:space="preserve">that AB InBev must “develop the capacity </w:t>
      </w:r>
      <w:r w:rsidR="00901188" w:rsidRPr="0025534C">
        <w:rPr>
          <w:rFonts w:ascii="Arial" w:hAnsi="Arial" w:cs="Arial"/>
          <w:bCs/>
        </w:rPr>
        <w:t xml:space="preserve">of 800 new emerging Farmers, and further develop the capacity of 20 new Commercial Farmers to </w:t>
      </w:r>
      <w:r>
        <w:rPr>
          <w:rFonts w:ascii="Arial" w:hAnsi="Arial" w:cs="Arial"/>
          <w:bCs/>
        </w:rPr>
        <w:t>“</w:t>
      </w:r>
      <w:r w:rsidR="00901188" w:rsidRPr="0025534C">
        <w:rPr>
          <w:rFonts w:ascii="Arial" w:hAnsi="Arial" w:cs="Arial"/>
          <w:bCs/>
        </w:rPr>
        <w:t>add</w:t>
      </w:r>
      <w:r>
        <w:rPr>
          <w:rFonts w:ascii="Arial" w:hAnsi="Arial" w:cs="Arial"/>
          <w:bCs/>
        </w:rPr>
        <w:t>”</w:t>
      </w:r>
      <w:r w:rsidR="00901188" w:rsidRPr="0025534C">
        <w:rPr>
          <w:rFonts w:ascii="Arial" w:hAnsi="Arial" w:cs="Arial"/>
          <w:bCs/>
        </w:rPr>
        <w:t xml:space="preserve"> 450000 tonnes of barley to be malted</w:t>
      </w:r>
      <w:r>
        <w:rPr>
          <w:rFonts w:ascii="Arial" w:hAnsi="Arial" w:cs="Arial"/>
          <w:bCs/>
        </w:rPr>
        <w:t>”</w:t>
      </w:r>
      <w:r w:rsidR="00901188" w:rsidRPr="0025534C">
        <w:rPr>
          <w:rFonts w:ascii="Arial" w:hAnsi="Arial" w:cs="Arial"/>
          <w:bCs/>
        </w:rPr>
        <w:t xml:space="preserve">. </w:t>
      </w:r>
    </w:p>
    <w:p w14:paraId="35DFBF34" w14:textId="77777777" w:rsidR="00901188" w:rsidRPr="0025534C" w:rsidRDefault="00901188" w:rsidP="004E5AD7">
      <w:pPr>
        <w:contextualSpacing/>
        <w:jc w:val="both"/>
        <w:rPr>
          <w:rFonts w:ascii="Arial" w:hAnsi="Arial" w:cs="Arial"/>
          <w:bCs/>
        </w:rPr>
      </w:pPr>
    </w:p>
    <w:p w14:paraId="63B70482" w14:textId="77777777" w:rsidR="00901188" w:rsidRPr="0025534C" w:rsidRDefault="00901188" w:rsidP="004E5AD7">
      <w:pPr>
        <w:contextualSpacing/>
        <w:jc w:val="both"/>
        <w:rPr>
          <w:rFonts w:ascii="Arial" w:hAnsi="Arial" w:cs="Arial"/>
          <w:bCs/>
        </w:rPr>
      </w:pPr>
      <w:r w:rsidRPr="0025534C">
        <w:rPr>
          <w:rFonts w:ascii="Arial" w:hAnsi="Arial" w:cs="Arial"/>
          <w:bCs/>
        </w:rPr>
        <w:t xml:space="preserve">The paragraph should read that “barley production would be increased to a </w:t>
      </w:r>
      <w:r w:rsidR="002875B3">
        <w:rPr>
          <w:rFonts w:ascii="Arial" w:hAnsi="Arial" w:cs="Arial"/>
          <w:bCs/>
        </w:rPr>
        <w:t>“</w:t>
      </w:r>
      <w:r w:rsidRPr="0025534C">
        <w:rPr>
          <w:rFonts w:ascii="Arial" w:hAnsi="Arial" w:cs="Arial"/>
          <w:bCs/>
        </w:rPr>
        <w:t>total</w:t>
      </w:r>
      <w:r w:rsidR="002875B3">
        <w:rPr>
          <w:rFonts w:ascii="Arial" w:hAnsi="Arial" w:cs="Arial"/>
          <w:bCs/>
        </w:rPr>
        <w:t>”</w:t>
      </w:r>
      <w:r w:rsidRPr="0025534C">
        <w:rPr>
          <w:rFonts w:ascii="Arial" w:hAnsi="Arial" w:cs="Arial"/>
          <w:bCs/>
        </w:rPr>
        <w:t xml:space="preserve"> of 450000”. </w:t>
      </w:r>
    </w:p>
    <w:p w14:paraId="7F34C82A" w14:textId="77777777" w:rsidR="00901188" w:rsidRPr="0025534C" w:rsidRDefault="00901188" w:rsidP="004E5AD7">
      <w:pPr>
        <w:contextualSpacing/>
        <w:jc w:val="both"/>
        <w:rPr>
          <w:rFonts w:ascii="Arial" w:hAnsi="Arial" w:cs="Arial"/>
          <w:bCs/>
        </w:rPr>
      </w:pPr>
    </w:p>
    <w:p w14:paraId="26EFE467" w14:textId="77777777" w:rsidR="006B7BF9" w:rsidRPr="0025534C" w:rsidRDefault="00937110" w:rsidP="004E5AD7">
      <w:pPr>
        <w:contextualSpacing/>
        <w:jc w:val="both"/>
        <w:rPr>
          <w:rFonts w:ascii="Arial" w:hAnsi="Arial" w:cs="Arial"/>
          <w:bCs/>
        </w:rPr>
      </w:pPr>
      <w:r w:rsidRPr="0025534C">
        <w:rPr>
          <w:rFonts w:ascii="Arial" w:hAnsi="Arial" w:cs="Arial"/>
          <w:bCs/>
        </w:rPr>
        <w:t xml:space="preserve">In </w:t>
      </w:r>
      <w:r w:rsidR="00901188" w:rsidRPr="0025534C">
        <w:rPr>
          <w:rFonts w:ascii="Arial" w:hAnsi="Arial" w:cs="Arial"/>
          <w:bCs/>
        </w:rPr>
        <w:t>paragraph 1.2.34</w:t>
      </w:r>
      <w:r w:rsidR="002875B3">
        <w:rPr>
          <w:rFonts w:ascii="Arial" w:hAnsi="Arial" w:cs="Arial"/>
          <w:bCs/>
        </w:rPr>
        <w:t>,</w:t>
      </w:r>
      <w:r w:rsidR="00901188" w:rsidRPr="0025534C">
        <w:rPr>
          <w:rFonts w:ascii="Arial" w:hAnsi="Arial" w:cs="Arial"/>
          <w:bCs/>
        </w:rPr>
        <w:t xml:space="preserve"> </w:t>
      </w:r>
      <w:r w:rsidRPr="0025534C">
        <w:rPr>
          <w:rFonts w:ascii="Arial" w:hAnsi="Arial" w:cs="Arial"/>
          <w:bCs/>
        </w:rPr>
        <w:t>which outlines what input products are required</w:t>
      </w:r>
      <w:r w:rsidR="002875B3">
        <w:rPr>
          <w:rFonts w:ascii="Arial" w:hAnsi="Arial" w:cs="Arial"/>
          <w:bCs/>
        </w:rPr>
        <w:t>,</w:t>
      </w:r>
      <w:r w:rsidRPr="0025534C">
        <w:rPr>
          <w:rFonts w:ascii="Arial" w:hAnsi="Arial" w:cs="Arial"/>
          <w:bCs/>
        </w:rPr>
        <w:t xml:space="preserve"> </w:t>
      </w:r>
      <w:r w:rsidR="002875B3">
        <w:rPr>
          <w:rFonts w:ascii="Arial" w:hAnsi="Arial" w:cs="Arial"/>
          <w:bCs/>
        </w:rPr>
        <w:t>only beer was</w:t>
      </w:r>
      <w:r w:rsidR="001946C5" w:rsidRPr="0025534C">
        <w:rPr>
          <w:rFonts w:ascii="Arial" w:hAnsi="Arial" w:cs="Arial"/>
          <w:bCs/>
        </w:rPr>
        <w:t xml:space="preserve"> mentioned. </w:t>
      </w:r>
      <w:r w:rsidR="002875B3">
        <w:rPr>
          <w:rFonts w:ascii="Arial" w:hAnsi="Arial" w:cs="Arial"/>
          <w:bCs/>
        </w:rPr>
        <w:t xml:space="preserve">The conditions have now been amended to include reference to beer and cider. </w:t>
      </w:r>
    </w:p>
    <w:p w14:paraId="5C1A01AF" w14:textId="77777777" w:rsidR="002875B3" w:rsidRDefault="002875B3" w:rsidP="004E5AD7">
      <w:pPr>
        <w:contextualSpacing/>
        <w:jc w:val="both"/>
        <w:rPr>
          <w:rFonts w:ascii="Arial" w:hAnsi="Arial" w:cs="Arial"/>
          <w:bCs/>
        </w:rPr>
      </w:pPr>
    </w:p>
    <w:p w14:paraId="6CBF6E3D" w14:textId="77777777" w:rsidR="001946C5" w:rsidRPr="0025534C" w:rsidRDefault="001946C5" w:rsidP="004E5AD7">
      <w:pPr>
        <w:contextualSpacing/>
        <w:jc w:val="both"/>
        <w:rPr>
          <w:rFonts w:ascii="Arial" w:hAnsi="Arial" w:cs="Arial"/>
          <w:bCs/>
        </w:rPr>
      </w:pPr>
      <w:r w:rsidRPr="0025534C">
        <w:rPr>
          <w:rFonts w:ascii="Arial" w:hAnsi="Arial" w:cs="Arial"/>
          <w:bCs/>
        </w:rPr>
        <w:t xml:space="preserve">The other corrections were not substantive in nature. </w:t>
      </w:r>
    </w:p>
    <w:p w14:paraId="06F507EF" w14:textId="77777777" w:rsidR="009B3A60" w:rsidRPr="0025534C" w:rsidRDefault="009B3A60" w:rsidP="004E5AD7">
      <w:pPr>
        <w:contextualSpacing/>
        <w:jc w:val="both"/>
        <w:rPr>
          <w:rFonts w:ascii="Arial" w:hAnsi="Arial" w:cs="Arial"/>
          <w:bCs/>
        </w:rPr>
      </w:pPr>
    </w:p>
    <w:p w14:paraId="013E135A" w14:textId="77777777" w:rsidR="004E5AD7" w:rsidRPr="0025534C" w:rsidRDefault="004E5AD7" w:rsidP="004E5AD7">
      <w:pPr>
        <w:contextualSpacing/>
        <w:jc w:val="both"/>
        <w:rPr>
          <w:rFonts w:ascii="Arial" w:hAnsi="Arial" w:cs="Arial"/>
          <w:b/>
          <w:bCs/>
        </w:rPr>
      </w:pPr>
      <w:r w:rsidRPr="0025534C">
        <w:rPr>
          <w:rFonts w:ascii="Arial" w:hAnsi="Arial" w:cs="Arial"/>
          <w:b/>
          <w:bCs/>
        </w:rPr>
        <w:t xml:space="preserve">Proposed merger between Unitrans Automotive </w:t>
      </w:r>
      <w:r w:rsidR="003E1923" w:rsidRPr="0025534C">
        <w:rPr>
          <w:rFonts w:ascii="Arial" w:hAnsi="Arial" w:cs="Arial"/>
          <w:b/>
          <w:bCs/>
        </w:rPr>
        <w:t xml:space="preserve">and </w:t>
      </w:r>
      <w:r w:rsidRPr="0025534C">
        <w:rPr>
          <w:rFonts w:ascii="Arial" w:hAnsi="Arial" w:cs="Arial"/>
          <w:b/>
          <w:bCs/>
        </w:rPr>
        <w:t xml:space="preserve">The </w:t>
      </w:r>
      <w:proofErr w:type="spellStart"/>
      <w:r w:rsidRPr="0025534C">
        <w:rPr>
          <w:rFonts w:ascii="Arial" w:hAnsi="Arial" w:cs="Arial"/>
          <w:b/>
          <w:bCs/>
        </w:rPr>
        <w:t>Koos</w:t>
      </w:r>
      <w:proofErr w:type="spellEnd"/>
      <w:r w:rsidRPr="0025534C">
        <w:rPr>
          <w:rFonts w:ascii="Arial" w:hAnsi="Arial" w:cs="Arial"/>
          <w:b/>
          <w:bCs/>
        </w:rPr>
        <w:t xml:space="preserve"> Nel Group </w:t>
      </w:r>
      <w:r w:rsidR="00805712">
        <w:rPr>
          <w:rFonts w:ascii="Arial" w:hAnsi="Arial" w:cs="Arial"/>
          <w:b/>
          <w:bCs/>
        </w:rPr>
        <w:t>approved</w:t>
      </w:r>
    </w:p>
    <w:p w14:paraId="457907A9" w14:textId="77777777" w:rsidR="004E5AD7" w:rsidRPr="0025534C" w:rsidRDefault="004E5AD7" w:rsidP="004E5AD7">
      <w:pPr>
        <w:ind w:left="720"/>
        <w:contextualSpacing/>
        <w:jc w:val="both"/>
        <w:rPr>
          <w:rFonts w:ascii="Arial" w:hAnsi="Arial" w:cs="Arial"/>
        </w:rPr>
      </w:pPr>
    </w:p>
    <w:p w14:paraId="4F27BF6D" w14:textId="77777777" w:rsidR="004E5AD7" w:rsidRPr="0025534C" w:rsidRDefault="003E1923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 xml:space="preserve">The </w:t>
      </w:r>
      <w:r w:rsidR="004E5AD7" w:rsidRPr="0025534C">
        <w:rPr>
          <w:rFonts w:ascii="Arial" w:hAnsi="Arial" w:cs="Arial"/>
        </w:rPr>
        <w:t>Tribunal</w:t>
      </w:r>
      <w:r w:rsidRPr="0025534C">
        <w:rPr>
          <w:rFonts w:ascii="Arial" w:hAnsi="Arial" w:cs="Arial"/>
        </w:rPr>
        <w:t xml:space="preserve"> </w:t>
      </w:r>
      <w:r w:rsidR="00805712">
        <w:rPr>
          <w:rFonts w:ascii="Arial" w:hAnsi="Arial" w:cs="Arial"/>
        </w:rPr>
        <w:t xml:space="preserve">has approved the merger of </w:t>
      </w:r>
      <w:r w:rsidR="004E5AD7" w:rsidRPr="0025534C">
        <w:rPr>
          <w:rFonts w:ascii="Arial" w:hAnsi="Arial" w:cs="Arial"/>
        </w:rPr>
        <w:t xml:space="preserve">Unitrans Automotive </w:t>
      </w:r>
      <w:r w:rsidRPr="0025534C">
        <w:rPr>
          <w:rFonts w:ascii="Arial" w:hAnsi="Arial" w:cs="Arial"/>
        </w:rPr>
        <w:t xml:space="preserve">and </w:t>
      </w:r>
      <w:proofErr w:type="spellStart"/>
      <w:r w:rsidR="004E5AD7" w:rsidRPr="0025534C">
        <w:rPr>
          <w:rFonts w:ascii="Arial" w:hAnsi="Arial" w:cs="Arial"/>
        </w:rPr>
        <w:t>Koos</w:t>
      </w:r>
      <w:proofErr w:type="spellEnd"/>
      <w:r w:rsidR="004E5AD7" w:rsidRPr="0025534C">
        <w:rPr>
          <w:rFonts w:ascii="Arial" w:hAnsi="Arial" w:cs="Arial"/>
        </w:rPr>
        <w:t xml:space="preserve"> Nel Group.  </w:t>
      </w:r>
    </w:p>
    <w:p w14:paraId="42E7A685" w14:textId="77777777" w:rsidR="004E5AD7" w:rsidRPr="0025534C" w:rsidRDefault="004E5AD7" w:rsidP="004E5AD7">
      <w:pPr>
        <w:ind w:left="720"/>
        <w:contextualSpacing/>
        <w:jc w:val="both"/>
        <w:rPr>
          <w:rFonts w:ascii="Arial" w:hAnsi="Arial" w:cs="Arial"/>
        </w:rPr>
      </w:pPr>
    </w:p>
    <w:p w14:paraId="4BEC01B3" w14:textId="77777777" w:rsidR="003E1923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 xml:space="preserve">Unitrans Automotive represents Pepkor Trading’s automotive retail activities and its key product and service offerings are the sale of new and pre-owned passenger and light commercial vehicles, parts and accessories and after-market services. </w:t>
      </w:r>
    </w:p>
    <w:p w14:paraId="380A1183" w14:textId="77777777" w:rsidR="003E1923" w:rsidRPr="0025534C" w:rsidRDefault="003E1923" w:rsidP="004E5AD7">
      <w:pPr>
        <w:contextualSpacing/>
        <w:jc w:val="both"/>
        <w:rPr>
          <w:rFonts w:ascii="Arial" w:hAnsi="Arial" w:cs="Arial"/>
        </w:rPr>
      </w:pPr>
    </w:p>
    <w:p w14:paraId="754E8E20" w14:textId="77777777" w:rsidR="004E5AD7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 xml:space="preserve">The </w:t>
      </w:r>
      <w:proofErr w:type="spellStart"/>
      <w:r w:rsidRPr="0025534C">
        <w:rPr>
          <w:rFonts w:ascii="Arial" w:hAnsi="Arial" w:cs="Arial"/>
        </w:rPr>
        <w:t>K</w:t>
      </w:r>
      <w:r w:rsidR="003E1923" w:rsidRPr="0025534C">
        <w:rPr>
          <w:rFonts w:ascii="Arial" w:hAnsi="Arial" w:cs="Arial"/>
        </w:rPr>
        <w:t>oos</w:t>
      </w:r>
      <w:proofErr w:type="spellEnd"/>
      <w:r w:rsidR="003E1923" w:rsidRPr="0025534C">
        <w:rPr>
          <w:rFonts w:ascii="Arial" w:hAnsi="Arial" w:cs="Arial"/>
        </w:rPr>
        <w:t xml:space="preserve"> Nel Group operates three</w:t>
      </w:r>
      <w:r w:rsidRPr="0025534C">
        <w:rPr>
          <w:rFonts w:ascii="Arial" w:hAnsi="Arial" w:cs="Arial"/>
        </w:rPr>
        <w:t xml:space="preserve"> motor vehicle dealerships in </w:t>
      </w:r>
      <w:proofErr w:type="spellStart"/>
      <w:r w:rsidRPr="0025534C">
        <w:rPr>
          <w:rFonts w:ascii="Arial" w:hAnsi="Arial" w:cs="Arial"/>
        </w:rPr>
        <w:t>Mo</w:t>
      </w:r>
      <w:r w:rsidR="003E1923" w:rsidRPr="0025534C">
        <w:rPr>
          <w:rFonts w:ascii="Arial" w:hAnsi="Arial" w:cs="Arial"/>
        </w:rPr>
        <w:t>kopane</w:t>
      </w:r>
      <w:proofErr w:type="spellEnd"/>
      <w:r w:rsidR="003E1923" w:rsidRPr="0025534C">
        <w:rPr>
          <w:rFonts w:ascii="Arial" w:hAnsi="Arial" w:cs="Arial"/>
        </w:rPr>
        <w:t xml:space="preserve">, in the Limpopo Province and sells new, pre-owned and light commercial vehicles. It also has a service offering including the sale of parts, after-sale maintenance services and intermediary services for vehicle finance sales. </w:t>
      </w:r>
    </w:p>
    <w:p w14:paraId="61AF6306" w14:textId="77777777" w:rsidR="009C51C3" w:rsidRPr="0025534C" w:rsidRDefault="009C51C3" w:rsidP="004E5AD7">
      <w:pPr>
        <w:contextualSpacing/>
        <w:jc w:val="both"/>
        <w:rPr>
          <w:rFonts w:ascii="Arial" w:hAnsi="Arial" w:cs="Arial"/>
          <w:b/>
        </w:rPr>
      </w:pPr>
    </w:p>
    <w:p w14:paraId="2076D1B2" w14:textId="77777777" w:rsidR="0025534C" w:rsidRPr="0025534C" w:rsidRDefault="0025534C" w:rsidP="0025534C">
      <w:pPr>
        <w:contextualSpacing/>
        <w:jc w:val="both"/>
        <w:rPr>
          <w:rFonts w:ascii="Arial" w:hAnsi="Arial" w:cs="Arial"/>
          <w:b/>
        </w:rPr>
      </w:pPr>
      <w:r w:rsidRPr="0025534C">
        <w:rPr>
          <w:rFonts w:ascii="Arial" w:hAnsi="Arial" w:cs="Arial"/>
          <w:b/>
        </w:rPr>
        <w:t xml:space="preserve">FPT Group and </w:t>
      </w:r>
      <w:proofErr w:type="spellStart"/>
      <w:r w:rsidRPr="0025534C">
        <w:rPr>
          <w:rFonts w:ascii="Arial" w:hAnsi="Arial" w:cs="Arial"/>
          <w:b/>
        </w:rPr>
        <w:t>Tradekor</w:t>
      </w:r>
      <w:proofErr w:type="spellEnd"/>
      <w:r w:rsidRPr="0025534C">
        <w:rPr>
          <w:rFonts w:ascii="Arial" w:hAnsi="Arial" w:cs="Arial"/>
          <w:b/>
        </w:rPr>
        <w:t xml:space="preserve"> Holdings merger </w:t>
      </w:r>
      <w:r w:rsidR="00805712">
        <w:rPr>
          <w:rFonts w:ascii="Arial" w:hAnsi="Arial" w:cs="Arial"/>
          <w:b/>
        </w:rPr>
        <w:t>to go ahead</w:t>
      </w:r>
    </w:p>
    <w:p w14:paraId="09575E74" w14:textId="77777777" w:rsidR="0025534C" w:rsidRPr="0025534C" w:rsidRDefault="0025534C" w:rsidP="0025534C">
      <w:pPr>
        <w:contextualSpacing/>
        <w:jc w:val="both"/>
        <w:rPr>
          <w:rFonts w:ascii="Arial" w:hAnsi="Arial" w:cs="Arial"/>
          <w:b/>
        </w:rPr>
      </w:pPr>
    </w:p>
    <w:p w14:paraId="77CF31DF" w14:textId="77777777" w:rsidR="0025534C" w:rsidRPr="0025534C" w:rsidRDefault="00805712" w:rsidP="0025534C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25534C" w:rsidRPr="0025534C">
        <w:rPr>
          <w:rFonts w:ascii="Arial" w:hAnsi="Arial" w:cs="Arial"/>
        </w:rPr>
        <w:t xml:space="preserve"> proposed merger between FPT Group, part of the </w:t>
      </w:r>
      <w:proofErr w:type="spellStart"/>
      <w:r w:rsidR="0025534C" w:rsidRPr="0025534C">
        <w:rPr>
          <w:rFonts w:ascii="Arial" w:hAnsi="Arial" w:cs="Arial"/>
        </w:rPr>
        <w:t>Capespan</w:t>
      </w:r>
      <w:proofErr w:type="spellEnd"/>
      <w:r w:rsidR="0025534C" w:rsidRPr="0025534C">
        <w:rPr>
          <w:rFonts w:ascii="Arial" w:hAnsi="Arial" w:cs="Arial"/>
        </w:rPr>
        <w:t xml:space="preserve"> Group, and logist</w:t>
      </w:r>
      <w:r>
        <w:rPr>
          <w:rFonts w:ascii="Arial" w:hAnsi="Arial" w:cs="Arial"/>
        </w:rPr>
        <w:t xml:space="preserve">ical services company </w:t>
      </w:r>
      <w:proofErr w:type="spellStart"/>
      <w:r>
        <w:rPr>
          <w:rFonts w:ascii="Arial" w:hAnsi="Arial" w:cs="Arial"/>
        </w:rPr>
        <w:t>Tradekor</w:t>
      </w:r>
      <w:proofErr w:type="spellEnd"/>
      <w:r>
        <w:rPr>
          <w:rFonts w:ascii="Arial" w:hAnsi="Arial" w:cs="Arial"/>
        </w:rPr>
        <w:t xml:space="preserve"> has been approved by the Tribunal without conditions. </w:t>
      </w:r>
    </w:p>
    <w:p w14:paraId="62B93EE1" w14:textId="77777777" w:rsidR="0025534C" w:rsidRPr="0025534C" w:rsidRDefault="0025534C" w:rsidP="0025534C">
      <w:pPr>
        <w:contextualSpacing/>
        <w:jc w:val="both"/>
        <w:rPr>
          <w:rFonts w:ascii="Arial" w:hAnsi="Arial" w:cs="Arial"/>
        </w:rPr>
      </w:pPr>
    </w:p>
    <w:p w14:paraId="77AE3C24" w14:textId="77777777" w:rsidR="0025534C" w:rsidRPr="0025534C" w:rsidRDefault="0025534C" w:rsidP="0025534C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 xml:space="preserve">FPT is wholly-owned by </w:t>
      </w:r>
      <w:proofErr w:type="spellStart"/>
      <w:r w:rsidRPr="0025534C">
        <w:rPr>
          <w:rFonts w:ascii="Arial" w:hAnsi="Arial" w:cs="Arial"/>
        </w:rPr>
        <w:t>Capespan</w:t>
      </w:r>
      <w:proofErr w:type="spellEnd"/>
      <w:r w:rsidRPr="0025534C">
        <w:rPr>
          <w:rFonts w:ascii="Arial" w:hAnsi="Arial" w:cs="Arial"/>
        </w:rPr>
        <w:t xml:space="preserve"> which is turn ultimately controlled by </w:t>
      </w:r>
      <w:proofErr w:type="spellStart"/>
      <w:r w:rsidRPr="0025534C">
        <w:rPr>
          <w:rFonts w:ascii="Arial" w:hAnsi="Arial" w:cs="Arial"/>
        </w:rPr>
        <w:t>Zeder</w:t>
      </w:r>
      <w:proofErr w:type="spellEnd"/>
      <w:r w:rsidRPr="0025534C">
        <w:rPr>
          <w:rFonts w:ascii="Arial" w:hAnsi="Arial" w:cs="Arial"/>
        </w:rPr>
        <w:t xml:space="preserve"> Investments Limited. FPT is involved in the sale and marketing of fresh fruit produce to the international market, as well as logistical services. Its services are broken down into: the terminal operations business of FPT, the fruit marketing business of </w:t>
      </w:r>
      <w:proofErr w:type="spellStart"/>
      <w:r w:rsidRPr="0025534C">
        <w:rPr>
          <w:rFonts w:ascii="Arial" w:hAnsi="Arial" w:cs="Arial"/>
        </w:rPr>
        <w:t>Capespan</w:t>
      </w:r>
      <w:proofErr w:type="spellEnd"/>
      <w:r w:rsidRPr="0025534C">
        <w:rPr>
          <w:rFonts w:ascii="Arial" w:hAnsi="Arial" w:cs="Arial"/>
        </w:rPr>
        <w:t xml:space="preserve"> and the farm businesses of </w:t>
      </w:r>
      <w:proofErr w:type="spellStart"/>
      <w:r w:rsidRPr="0025534C">
        <w:rPr>
          <w:rFonts w:ascii="Arial" w:hAnsi="Arial" w:cs="Arial"/>
        </w:rPr>
        <w:t>Capespan</w:t>
      </w:r>
      <w:proofErr w:type="spellEnd"/>
      <w:r w:rsidRPr="0025534C">
        <w:rPr>
          <w:rFonts w:ascii="Arial" w:hAnsi="Arial" w:cs="Arial"/>
        </w:rPr>
        <w:t xml:space="preserve">. </w:t>
      </w:r>
    </w:p>
    <w:p w14:paraId="72461B53" w14:textId="77777777" w:rsidR="0025534C" w:rsidRPr="0025534C" w:rsidRDefault="0025534C" w:rsidP="0025534C">
      <w:pPr>
        <w:contextualSpacing/>
        <w:jc w:val="both"/>
        <w:rPr>
          <w:rFonts w:ascii="Arial" w:hAnsi="Arial" w:cs="Arial"/>
        </w:rPr>
      </w:pPr>
    </w:p>
    <w:p w14:paraId="06932EE0" w14:textId="77777777" w:rsidR="0025534C" w:rsidRPr="0025534C" w:rsidRDefault="0025534C" w:rsidP="0025534C">
      <w:pPr>
        <w:contextualSpacing/>
        <w:jc w:val="both"/>
        <w:rPr>
          <w:rFonts w:ascii="Arial" w:hAnsi="Arial" w:cs="Arial"/>
        </w:rPr>
      </w:pPr>
      <w:proofErr w:type="spellStart"/>
      <w:r w:rsidRPr="0025534C">
        <w:rPr>
          <w:rFonts w:ascii="Arial" w:hAnsi="Arial" w:cs="Arial"/>
        </w:rPr>
        <w:t>Tradekor</w:t>
      </w:r>
      <w:proofErr w:type="spellEnd"/>
      <w:r w:rsidRPr="0025534C">
        <w:rPr>
          <w:rFonts w:ascii="Arial" w:hAnsi="Arial" w:cs="Arial"/>
        </w:rPr>
        <w:t xml:space="preserve"> provides logistical services in the commodities industry, specialising in trading, in-land warehousing, containerising and shipping of manganese, chrome and iron ore. </w:t>
      </w:r>
    </w:p>
    <w:p w14:paraId="5779F442" w14:textId="77777777" w:rsidR="0025534C" w:rsidRPr="0025534C" w:rsidRDefault="0025534C" w:rsidP="0025534C">
      <w:pPr>
        <w:contextualSpacing/>
        <w:jc w:val="both"/>
        <w:rPr>
          <w:rFonts w:ascii="Arial" w:hAnsi="Arial" w:cs="Arial"/>
        </w:rPr>
      </w:pPr>
    </w:p>
    <w:p w14:paraId="7C9C5A3F" w14:textId="77777777" w:rsidR="004E5AD7" w:rsidRPr="0025534C" w:rsidRDefault="004E5AD7" w:rsidP="004E5AD7">
      <w:pPr>
        <w:contextualSpacing/>
        <w:jc w:val="both"/>
        <w:rPr>
          <w:rFonts w:ascii="Arial" w:hAnsi="Arial" w:cs="Arial"/>
          <w:b/>
          <w:bCs/>
        </w:rPr>
      </w:pPr>
      <w:r w:rsidRPr="0025534C">
        <w:rPr>
          <w:rFonts w:ascii="Arial" w:hAnsi="Arial" w:cs="Arial"/>
          <w:b/>
          <w:bCs/>
        </w:rPr>
        <w:t xml:space="preserve">Redefine Properties and Pivotal Fund </w:t>
      </w:r>
      <w:r w:rsidR="002875B3">
        <w:rPr>
          <w:rFonts w:ascii="Arial" w:hAnsi="Arial" w:cs="Arial"/>
          <w:b/>
          <w:bCs/>
        </w:rPr>
        <w:t>merger approved</w:t>
      </w:r>
    </w:p>
    <w:p w14:paraId="153F0DAA" w14:textId="77777777" w:rsidR="004E5AD7" w:rsidRPr="0025534C" w:rsidRDefault="004E5AD7" w:rsidP="004E5AD7">
      <w:pPr>
        <w:ind w:left="720"/>
        <w:contextualSpacing/>
        <w:jc w:val="both"/>
        <w:rPr>
          <w:rFonts w:ascii="Arial" w:hAnsi="Arial" w:cs="Arial"/>
        </w:rPr>
      </w:pPr>
    </w:p>
    <w:p w14:paraId="2EFBE017" w14:textId="77777777" w:rsidR="004E5AD7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 xml:space="preserve">Tribunal </w:t>
      </w:r>
      <w:r w:rsidR="002875B3">
        <w:rPr>
          <w:rFonts w:ascii="Arial" w:hAnsi="Arial" w:cs="Arial"/>
        </w:rPr>
        <w:t xml:space="preserve">has approved, without conditions, </w:t>
      </w:r>
      <w:r w:rsidRPr="0025534C">
        <w:rPr>
          <w:rFonts w:ascii="Arial" w:hAnsi="Arial" w:cs="Arial"/>
        </w:rPr>
        <w:t xml:space="preserve">the large merger whereby Redefine </w:t>
      </w:r>
      <w:r w:rsidR="002875B3">
        <w:rPr>
          <w:rFonts w:ascii="Arial" w:hAnsi="Arial" w:cs="Arial"/>
        </w:rPr>
        <w:t xml:space="preserve">will </w:t>
      </w:r>
      <w:r w:rsidRPr="0025534C">
        <w:rPr>
          <w:rFonts w:ascii="Arial" w:hAnsi="Arial" w:cs="Arial"/>
        </w:rPr>
        <w:t xml:space="preserve">acquire Pivotal.  </w:t>
      </w:r>
    </w:p>
    <w:p w14:paraId="0FD0A814" w14:textId="77777777" w:rsidR="004E5AD7" w:rsidRPr="0025534C" w:rsidRDefault="004E5AD7" w:rsidP="004E5AD7">
      <w:pPr>
        <w:ind w:left="720"/>
        <w:contextualSpacing/>
        <w:jc w:val="both"/>
        <w:rPr>
          <w:rFonts w:ascii="Arial" w:hAnsi="Arial" w:cs="Arial"/>
        </w:rPr>
      </w:pPr>
    </w:p>
    <w:p w14:paraId="52CCB2F3" w14:textId="77777777" w:rsidR="00927D04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 xml:space="preserve">The Redefine Group is a property investment group which owns a portfolio of office, residential (student accommodation), retail, hospital, gymnasium, hotel and industrial properties located throughout South Africa. </w:t>
      </w:r>
    </w:p>
    <w:p w14:paraId="11F9EA26" w14:textId="77777777" w:rsidR="00927D04" w:rsidRPr="0025534C" w:rsidRDefault="00927D04" w:rsidP="004E5AD7">
      <w:pPr>
        <w:contextualSpacing/>
        <w:jc w:val="both"/>
        <w:rPr>
          <w:rFonts w:ascii="Arial" w:hAnsi="Arial" w:cs="Arial"/>
        </w:rPr>
      </w:pPr>
    </w:p>
    <w:p w14:paraId="3B986D6D" w14:textId="77777777" w:rsidR="004E5AD7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>Pivotal is a property investment and development fund with a portfolio comprising retail, office and industrial properties and vacant land located in the Gauteng, Western Cape and Free State Provinces.</w:t>
      </w:r>
    </w:p>
    <w:p w14:paraId="61AABC39" w14:textId="77777777" w:rsidR="004E5AD7" w:rsidRPr="0025534C" w:rsidRDefault="004E5AD7" w:rsidP="004E5AD7">
      <w:pPr>
        <w:contextualSpacing/>
        <w:jc w:val="both"/>
        <w:rPr>
          <w:rFonts w:ascii="Arial" w:hAnsi="Arial" w:cs="Arial"/>
        </w:rPr>
      </w:pPr>
    </w:p>
    <w:p w14:paraId="6E03B770" w14:textId="77777777" w:rsidR="004E5AD7" w:rsidRDefault="004E5AD7" w:rsidP="004E5AD7">
      <w:pPr>
        <w:contextualSpacing/>
        <w:jc w:val="both"/>
        <w:rPr>
          <w:rFonts w:ascii="Arial" w:hAnsi="Arial" w:cs="Arial"/>
          <w:b/>
          <w:bCs/>
        </w:rPr>
      </w:pPr>
      <w:r w:rsidRPr="0025534C">
        <w:rPr>
          <w:rFonts w:ascii="Arial" w:hAnsi="Arial" w:cs="Arial"/>
          <w:b/>
          <w:bCs/>
        </w:rPr>
        <w:t>EOH Intelligen</w:t>
      </w:r>
      <w:r w:rsidR="0025534C">
        <w:rPr>
          <w:rFonts w:ascii="Arial" w:hAnsi="Arial" w:cs="Arial"/>
          <w:b/>
          <w:bCs/>
        </w:rPr>
        <w:t>t Infrastructure</w:t>
      </w:r>
      <w:r w:rsidRPr="0025534C">
        <w:rPr>
          <w:rFonts w:ascii="Arial" w:hAnsi="Arial" w:cs="Arial"/>
          <w:b/>
          <w:bCs/>
        </w:rPr>
        <w:t xml:space="preserve"> a</w:t>
      </w:r>
      <w:r w:rsidR="0025534C">
        <w:rPr>
          <w:rFonts w:ascii="Arial" w:hAnsi="Arial" w:cs="Arial"/>
          <w:b/>
          <w:bCs/>
        </w:rPr>
        <w:t>nd PIA Solar South Africa</w:t>
      </w:r>
      <w:r w:rsidR="002875B3">
        <w:rPr>
          <w:rFonts w:ascii="Arial" w:hAnsi="Arial" w:cs="Arial"/>
          <w:b/>
          <w:bCs/>
        </w:rPr>
        <w:t xml:space="preserve"> merger approved</w:t>
      </w:r>
    </w:p>
    <w:p w14:paraId="1FA130A3" w14:textId="77777777" w:rsidR="002875B3" w:rsidRPr="0025534C" w:rsidRDefault="002875B3" w:rsidP="004E5AD7">
      <w:pPr>
        <w:contextualSpacing/>
        <w:jc w:val="both"/>
        <w:rPr>
          <w:rFonts w:ascii="Arial" w:hAnsi="Arial" w:cs="Arial"/>
          <w:b/>
          <w:bCs/>
        </w:rPr>
      </w:pPr>
    </w:p>
    <w:p w14:paraId="05D394E4" w14:textId="77777777" w:rsidR="004E5AD7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 xml:space="preserve">Competition Tribunal </w:t>
      </w:r>
      <w:r w:rsidR="002875B3">
        <w:rPr>
          <w:rFonts w:ascii="Arial" w:hAnsi="Arial" w:cs="Arial"/>
        </w:rPr>
        <w:t xml:space="preserve">has approved the merger of EOH and target firm. </w:t>
      </w:r>
      <w:r w:rsidR="009C51C3" w:rsidRPr="0025534C">
        <w:rPr>
          <w:rFonts w:ascii="Arial" w:hAnsi="Arial" w:cs="Arial"/>
        </w:rPr>
        <w:t xml:space="preserve">The merger will give EOH Intelligent Infrastructure control of PIA Solar South Africa. </w:t>
      </w:r>
    </w:p>
    <w:p w14:paraId="2103A0BC" w14:textId="77777777" w:rsidR="0025534C" w:rsidRDefault="0025534C" w:rsidP="004E5AD7">
      <w:pPr>
        <w:contextualSpacing/>
        <w:jc w:val="both"/>
        <w:rPr>
          <w:rFonts w:ascii="Arial" w:hAnsi="Arial" w:cs="Arial"/>
        </w:rPr>
      </w:pPr>
    </w:p>
    <w:p w14:paraId="2339FEBA" w14:textId="77777777" w:rsidR="009C51C3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lastRenderedPageBreak/>
        <w:t xml:space="preserve">EOH is an investment and management company </w:t>
      </w:r>
      <w:r w:rsidR="009C51C3" w:rsidRPr="0025534C">
        <w:rPr>
          <w:rFonts w:ascii="Arial" w:hAnsi="Arial" w:cs="Arial"/>
        </w:rPr>
        <w:t>which engages in developing business and IT strategies. It provides services in</w:t>
      </w:r>
      <w:r w:rsidR="0025534C">
        <w:rPr>
          <w:rFonts w:ascii="Arial" w:hAnsi="Arial" w:cs="Arial"/>
        </w:rPr>
        <w:t xml:space="preserve"> </w:t>
      </w:r>
      <w:r w:rsidRPr="0025534C">
        <w:rPr>
          <w:rFonts w:ascii="Arial" w:hAnsi="Arial" w:cs="Arial"/>
        </w:rPr>
        <w:t>consulting, techno</w:t>
      </w:r>
      <w:r w:rsidR="002875B3">
        <w:rPr>
          <w:rFonts w:ascii="Arial" w:hAnsi="Arial" w:cs="Arial"/>
        </w:rPr>
        <w:t>logy and outsourcing services.</w:t>
      </w:r>
    </w:p>
    <w:p w14:paraId="02EDE26B" w14:textId="77777777" w:rsidR="009C51C3" w:rsidRPr="0025534C" w:rsidRDefault="009C51C3" w:rsidP="004E5AD7">
      <w:pPr>
        <w:contextualSpacing/>
        <w:jc w:val="both"/>
        <w:rPr>
          <w:rFonts w:ascii="Arial" w:hAnsi="Arial" w:cs="Arial"/>
        </w:rPr>
      </w:pPr>
    </w:p>
    <w:p w14:paraId="7B13C2DD" w14:textId="77777777" w:rsidR="004E5AD7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>PIA manufactures, supplies and installs photovoltaic (P</w:t>
      </w:r>
      <w:r w:rsidR="009C51C3" w:rsidRPr="0025534C">
        <w:rPr>
          <w:rFonts w:ascii="Arial" w:hAnsi="Arial" w:cs="Arial"/>
        </w:rPr>
        <w:t xml:space="preserve">V) substructures used to </w:t>
      </w:r>
      <w:r w:rsidRPr="0025534C">
        <w:rPr>
          <w:rFonts w:ascii="Arial" w:hAnsi="Arial" w:cs="Arial"/>
        </w:rPr>
        <w:t>fix solar panels on surfaces such as roofs, building facades, or the ground.</w:t>
      </w:r>
    </w:p>
    <w:p w14:paraId="402787A2" w14:textId="77777777" w:rsidR="004E5AD7" w:rsidRDefault="004E5AD7" w:rsidP="004E5AD7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478B1942" w14:textId="77777777" w:rsidR="00AC26AF" w:rsidRDefault="00AC26AF" w:rsidP="00AC26AF">
      <w:pPr>
        <w:spacing w:after="0" w:line="240" w:lineRule="auto"/>
        <w:jc w:val="both"/>
        <w:rPr>
          <w:rFonts w:ascii="Arial" w:hAnsi="Arial" w:cs="Arial"/>
        </w:rPr>
      </w:pPr>
    </w:p>
    <w:p w14:paraId="3E54D6CA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Issued by: </w:t>
      </w:r>
    </w:p>
    <w:p w14:paraId="57C0C6BE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Chantelle Benjamin </w:t>
      </w:r>
    </w:p>
    <w:p w14:paraId="19954C2E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>Communications: Competition Tribunal   </w:t>
      </w:r>
    </w:p>
    <w:p w14:paraId="0F983C6F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Tel (012)394 1383                                      </w:t>
      </w:r>
    </w:p>
    <w:p w14:paraId="5E5318E2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>Cell: +27 (0) 73 007 5603  </w:t>
      </w:r>
    </w:p>
    <w:p w14:paraId="34EE7689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Twitter: @comptrib                                        </w:t>
      </w:r>
    </w:p>
    <w:p w14:paraId="3B4636D8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</w:rPr>
      </w:pPr>
      <w:r w:rsidRPr="00CF3501">
        <w:rPr>
          <w:rFonts w:ascii="Arial" w:hAnsi="Arial" w:cs="Arial"/>
          <w:color w:val="000000"/>
          <w:lang w:eastAsia="en-ZA"/>
        </w:rPr>
        <w:t xml:space="preserve">E-Mail: </w:t>
      </w:r>
      <w:hyperlink r:id="rId6" w:history="1">
        <w:r w:rsidRPr="00CF3501">
          <w:rPr>
            <w:rStyle w:val="Hyperlink"/>
            <w:rFonts w:ascii="Arial" w:hAnsi="Arial" w:cs="Arial"/>
            <w:lang w:eastAsia="en-ZA"/>
          </w:rPr>
          <w:t>chantelleb@comptrib.co.za</w:t>
        </w:r>
      </w:hyperlink>
      <w:r w:rsidRPr="00CF3501">
        <w:rPr>
          <w:rFonts w:ascii="Arial" w:hAnsi="Arial" w:cs="Arial"/>
        </w:rPr>
        <w:t xml:space="preserve"> </w:t>
      </w:r>
    </w:p>
    <w:p w14:paraId="0FB2C47A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8284526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BF1B1ED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>On Behalf Of:</w:t>
      </w:r>
    </w:p>
    <w:p w14:paraId="224392E3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>Lerato Motaung                                                   </w:t>
      </w:r>
    </w:p>
    <w:p w14:paraId="1566D460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14:paraId="24EE2C69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14:paraId="602A8133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14:paraId="59AB5F30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</w:rPr>
      </w:pPr>
      <w:r w:rsidRPr="00CF3501">
        <w:rPr>
          <w:rFonts w:ascii="Arial" w:hAnsi="Arial" w:cs="Arial"/>
          <w:color w:val="000000"/>
          <w:lang w:eastAsia="en-ZA"/>
        </w:rPr>
        <w:t xml:space="preserve">E-Mail: </w:t>
      </w:r>
      <w:hyperlink r:id="rId7" w:history="1">
        <w:r w:rsidRPr="00CF3501">
          <w:rPr>
            <w:rStyle w:val="Hyperlink"/>
            <w:rFonts w:ascii="Arial" w:hAnsi="Arial" w:cs="Arial"/>
            <w:lang w:eastAsia="en-ZA"/>
          </w:rPr>
          <w:t>LeratoM@comptrib.co.za</w:t>
        </w:r>
      </w:hyperlink>
    </w:p>
    <w:p w14:paraId="1E6F903A" w14:textId="77777777" w:rsidR="00AC26AF" w:rsidRDefault="00AC26AF" w:rsidP="00AC26AF"/>
    <w:p w14:paraId="38FCC81A" w14:textId="77777777" w:rsidR="003E6D12" w:rsidRDefault="00C65674"/>
    <w:sectPr w:rsidR="003E6D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F7699"/>
    <w:multiLevelType w:val="hybridMultilevel"/>
    <w:tmpl w:val="148A5A70"/>
    <w:lvl w:ilvl="0" w:tplc="ABD0C5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6AF"/>
    <w:rsid w:val="00062DA0"/>
    <w:rsid w:val="001844F8"/>
    <w:rsid w:val="001946C5"/>
    <w:rsid w:val="001F6DF6"/>
    <w:rsid w:val="0025534C"/>
    <w:rsid w:val="002875B3"/>
    <w:rsid w:val="002A5A09"/>
    <w:rsid w:val="002D3315"/>
    <w:rsid w:val="003251D1"/>
    <w:rsid w:val="003E1923"/>
    <w:rsid w:val="004755EC"/>
    <w:rsid w:val="004E5AD7"/>
    <w:rsid w:val="004E6E13"/>
    <w:rsid w:val="005B269C"/>
    <w:rsid w:val="005D0CB0"/>
    <w:rsid w:val="00607396"/>
    <w:rsid w:val="00613B75"/>
    <w:rsid w:val="00651605"/>
    <w:rsid w:val="006B7BF9"/>
    <w:rsid w:val="00733737"/>
    <w:rsid w:val="00783A77"/>
    <w:rsid w:val="00805712"/>
    <w:rsid w:val="00854C00"/>
    <w:rsid w:val="008D3A3F"/>
    <w:rsid w:val="00901188"/>
    <w:rsid w:val="00927D04"/>
    <w:rsid w:val="00937110"/>
    <w:rsid w:val="009B0EE2"/>
    <w:rsid w:val="009B3A60"/>
    <w:rsid w:val="009B509B"/>
    <w:rsid w:val="009C51C3"/>
    <w:rsid w:val="009E1325"/>
    <w:rsid w:val="00AC26AF"/>
    <w:rsid w:val="00C311DC"/>
    <w:rsid w:val="00D33F20"/>
    <w:rsid w:val="00D6488B"/>
    <w:rsid w:val="00E1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A043"/>
  <w15:chartTrackingRefBased/>
  <w15:docId w15:val="{4431E5AC-E260-4D08-B30E-9D85A350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6AF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6AF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26A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D3315"/>
    <w:rPr>
      <w:i/>
      <w:iCs/>
    </w:rPr>
  </w:style>
  <w:style w:type="paragraph" w:styleId="ListParagraph">
    <w:name w:val="List Paragraph"/>
    <w:basedOn w:val="Normal"/>
    <w:uiPriority w:val="34"/>
    <w:qFormat/>
    <w:rsid w:val="002D3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ratoM@comptrib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chantelleb\AppData\Local\Microsoft\Windows\INetCache\Content.Outlook\T40REA8V\chantelleb@comptrib.co.za" TargetMode="External"/><Relationship Id="rId5" Type="http://schemas.openxmlformats.org/officeDocument/2006/relationships/hyperlink" Target="http://www.comptrib.co.z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Gillian De Gouveia</cp:lastModifiedBy>
  <cp:revision>2</cp:revision>
  <dcterms:created xsi:type="dcterms:W3CDTF">2019-04-25T09:29:00Z</dcterms:created>
  <dcterms:modified xsi:type="dcterms:W3CDTF">2019-04-25T09:29:00Z</dcterms:modified>
</cp:coreProperties>
</file>