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035BA" w14:textId="77777777" w:rsidR="005274E2" w:rsidRPr="00B0166C" w:rsidRDefault="005274E2" w:rsidP="00DB6FD7">
      <w:pPr>
        <w:ind w:left="454" w:right="454"/>
        <w:jc w:val="center"/>
        <w:rPr>
          <w:rFonts w:ascii="Arial" w:hAnsi="Arial" w:cs="Arial"/>
          <w:b/>
        </w:rPr>
      </w:pPr>
      <w:bookmarkStart w:id="0" w:name="_GoBack"/>
      <w:bookmarkEnd w:id="0"/>
      <w:r w:rsidRPr="00B0166C">
        <w:rPr>
          <w:rFonts w:ascii="Arial" w:hAnsi="Arial" w:cs="Arial"/>
          <w:b/>
          <w:noProof/>
          <w:lang w:eastAsia="en-ZA"/>
        </w:rPr>
        <w:drawing>
          <wp:inline distT="0" distB="0" distL="0" distR="0" wp14:anchorId="728B73ED" wp14:editId="6AEB4D52">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5">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14:paraId="0D49EC2D" w14:textId="77777777" w:rsidR="005274E2" w:rsidRPr="00B0166C" w:rsidRDefault="005274E2" w:rsidP="00DB6FD7">
      <w:pPr>
        <w:ind w:left="454" w:right="454"/>
        <w:jc w:val="center"/>
        <w:rPr>
          <w:rFonts w:ascii="Arial" w:hAnsi="Arial" w:cs="Arial"/>
          <w:b/>
        </w:rPr>
      </w:pPr>
    </w:p>
    <w:p w14:paraId="67F63863" w14:textId="77777777" w:rsidR="005274E2" w:rsidRPr="00B0166C" w:rsidRDefault="005274E2" w:rsidP="00DB6FD7">
      <w:pPr>
        <w:ind w:left="454" w:right="454"/>
        <w:jc w:val="center"/>
        <w:rPr>
          <w:rFonts w:ascii="Arial" w:hAnsi="Arial" w:cs="Arial"/>
          <w:b/>
        </w:rPr>
      </w:pPr>
    </w:p>
    <w:p w14:paraId="6BDE1716" w14:textId="77777777" w:rsidR="005274E2" w:rsidRPr="00B0166C" w:rsidRDefault="005274E2" w:rsidP="00DB6FD7">
      <w:pPr>
        <w:ind w:left="454" w:right="454"/>
        <w:jc w:val="center"/>
        <w:rPr>
          <w:rFonts w:ascii="Arial" w:hAnsi="Arial" w:cs="Arial"/>
          <w:b/>
        </w:rPr>
      </w:pPr>
    </w:p>
    <w:p w14:paraId="4228A120" w14:textId="77777777" w:rsidR="005274E2" w:rsidRPr="00B0166C" w:rsidRDefault="001A3F1D" w:rsidP="00375A93">
      <w:pPr>
        <w:ind w:left="454" w:right="454"/>
        <w:rPr>
          <w:rFonts w:ascii="Arial" w:hAnsi="Arial" w:cs="Arial"/>
          <w:b/>
        </w:rPr>
      </w:pPr>
      <w:r>
        <w:rPr>
          <w:rFonts w:ascii="Arial" w:hAnsi="Arial" w:cs="Arial"/>
          <w:b/>
        </w:rPr>
        <w:t xml:space="preserve">OUTCOME OF </w:t>
      </w:r>
      <w:r w:rsidR="005274E2">
        <w:rPr>
          <w:rFonts w:ascii="Arial" w:hAnsi="Arial" w:cs="Arial"/>
          <w:b/>
        </w:rPr>
        <w:t xml:space="preserve">TRIBUNAL MERGER HEARING </w:t>
      </w:r>
      <w:r w:rsidR="005274E2" w:rsidRPr="00B0166C">
        <w:rPr>
          <w:rFonts w:ascii="Arial" w:hAnsi="Arial" w:cs="Arial"/>
          <w:b/>
        </w:rPr>
        <w:t>- WEDNESDAY</w:t>
      </w:r>
      <w:r w:rsidR="005274E2">
        <w:rPr>
          <w:rFonts w:ascii="Arial" w:hAnsi="Arial" w:cs="Arial"/>
          <w:b/>
        </w:rPr>
        <w:t>, 31 MAY 2017</w:t>
      </w:r>
    </w:p>
    <w:p w14:paraId="2BBA2576" w14:textId="77777777" w:rsidR="005274E2" w:rsidRPr="00B0166C" w:rsidRDefault="005274E2" w:rsidP="00DB6FD7">
      <w:pPr>
        <w:ind w:left="454" w:right="454"/>
        <w:jc w:val="both"/>
        <w:rPr>
          <w:rFonts w:ascii="Arial" w:hAnsi="Arial" w:cs="Arial"/>
          <w:b/>
        </w:rPr>
      </w:pPr>
    </w:p>
    <w:p w14:paraId="1F3BFBBB" w14:textId="77777777" w:rsidR="00375A93" w:rsidRPr="00B0166C" w:rsidRDefault="00375A93" w:rsidP="00375A93">
      <w:pPr>
        <w:jc w:val="both"/>
        <w:rPr>
          <w:rFonts w:ascii="Arial" w:hAnsi="Arial" w:cs="Arial"/>
        </w:rPr>
      </w:pPr>
    </w:p>
    <w:p w14:paraId="5B3502EF" w14:textId="77777777" w:rsidR="005274E2" w:rsidRPr="00B0166C" w:rsidRDefault="005274E2" w:rsidP="00DB6FD7">
      <w:pPr>
        <w:ind w:left="454" w:right="454"/>
        <w:jc w:val="both"/>
        <w:rPr>
          <w:rFonts w:ascii="Arial" w:hAnsi="Arial" w:cs="Arial"/>
          <w:b/>
        </w:rPr>
      </w:pPr>
    </w:p>
    <w:p w14:paraId="1BBE680A" w14:textId="77777777" w:rsidR="005274E2" w:rsidRPr="00B0166C" w:rsidRDefault="005274E2" w:rsidP="00DB6FD7">
      <w:pPr>
        <w:ind w:left="454" w:right="454"/>
        <w:jc w:val="both"/>
        <w:rPr>
          <w:rFonts w:ascii="Arial" w:hAnsi="Arial" w:cs="Arial"/>
        </w:rPr>
      </w:pPr>
    </w:p>
    <w:tbl>
      <w:tblPr>
        <w:tblStyle w:val="TableGrid"/>
        <w:tblW w:w="9224"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3153"/>
        <w:gridCol w:w="3198"/>
        <w:gridCol w:w="2873"/>
      </w:tblGrid>
      <w:tr w:rsidR="005274E2" w:rsidRPr="00B0166C" w14:paraId="65D07EE8" w14:textId="77777777" w:rsidTr="00DD2307">
        <w:trPr>
          <w:trHeight w:val="972"/>
        </w:trPr>
        <w:tc>
          <w:tcPr>
            <w:tcW w:w="3153" w:type="dxa"/>
            <w:shd w:val="clear" w:color="auto" w:fill="996633"/>
          </w:tcPr>
          <w:p w14:paraId="72A9F99B" w14:textId="77777777" w:rsidR="005274E2" w:rsidRPr="00B0166C" w:rsidRDefault="005274E2" w:rsidP="00DB6FD7">
            <w:pPr>
              <w:ind w:left="454" w:right="454"/>
              <w:rPr>
                <w:rFonts w:ascii="Arial" w:hAnsi="Arial" w:cs="Arial"/>
                <w:color w:val="FFFFFF" w:themeColor="background1"/>
              </w:rPr>
            </w:pPr>
            <w:r w:rsidRPr="00B0166C">
              <w:rPr>
                <w:rFonts w:ascii="Arial" w:hAnsi="Arial" w:cs="Arial"/>
                <w:color w:val="FFFFFF" w:themeColor="background1"/>
              </w:rPr>
              <w:t>Type of matter</w:t>
            </w:r>
          </w:p>
        </w:tc>
        <w:tc>
          <w:tcPr>
            <w:tcW w:w="3198" w:type="dxa"/>
            <w:shd w:val="clear" w:color="auto" w:fill="996633"/>
          </w:tcPr>
          <w:p w14:paraId="7DD9B56D" w14:textId="77777777" w:rsidR="005274E2" w:rsidRPr="00B0166C" w:rsidRDefault="005274E2" w:rsidP="00DB6FD7">
            <w:pPr>
              <w:ind w:left="454" w:right="454"/>
              <w:rPr>
                <w:rFonts w:ascii="Arial" w:hAnsi="Arial" w:cs="Arial"/>
                <w:color w:val="FFFFFF" w:themeColor="background1"/>
              </w:rPr>
            </w:pPr>
            <w:r w:rsidRPr="00B0166C">
              <w:rPr>
                <w:rFonts w:ascii="Arial" w:hAnsi="Arial" w:cs="Arial"/>
                <w:color w:val="FFFFFF" w:themeColor="background1"/>
              </w:rPr>
              <w:t>Parties involved</w:t>
            </w:r>
          </w:p>
        </w:tc>
        <w:tc>
          <w:tcPr>
            <w:tcW w:w="2873" w:type="dxa"/>
            <w:shd w:val="clear" w:color="auto" w:fill="996633"/>
          </w:tcPr>
          <w:p w14:paraId="24121C32" w14:textId="77777777" w:rsidR="005274E2" w:rsidRPr="00B0166C" w:rsidRDefault="005274E2" w:rsidP="00DB6FD7">
            <w:pPr>
              <w:ind w:left="454" w:right="454"/>
              <w:rPr>
                <w:rFonts w:ascii="Arial" w:hAnsi="Arial" w:cs="Arial"/>
                <w:color w:val="FFFFFF" w:themeColor="background1"/>
              </w:rPr>
            </w:pPr>
            <w:r w:rsidRPr="00B0166C">
              <w:rPr>
                <w:rFonts w:ascii="Arial" w:hAnsi="Arial" w:cs="Arial"/>
                <w:color w:val="FFFFFF" w:themeColor="background1"/>
              </w:rPr>
              <w:t>Competition Commission’s recommendation to Tribunal</w:t>
            </w:r>
          </w:p>
        </w:tc>
      </w:tr>
      <w:tr w:rsidR="005274E2" w:rsidRPr="00B0166C" w14:paraId="7A93456B" w14:textId="77777777" w:rsidTr="00DD2307">
        <w:trPr>
          <w:trHeight w:val="493"/>
        </w:trPr>
        <w:tc>
          <w:tcPr>
            <w:tcW w:w="3153" w:type="dxa"/>
          </w:tcPr>
          <w:p w14:paraId="0AA174D5" w14:textId="77777777" w:rsidR="005274E2" w:rsidRDefault="005274E2" w:rsidP="00DB6FD7">
            <w:pPr>
              <w:ind w:left="454" w:right="454"/>
              <w:jc w:val="both"/>
              <w:rPr>
                <w:rFonts w:ascii="Arial" w:hAnsi="Arial" w:cs="Arial"/>
              </w:rPr>
            </w:pPr>
            <w:r>
              <w:rPr>
                <w:rFonts w:ascii="Arial" w:hAnsi="Arial" w:cs="Arial"/>
              </w:rPr>
              <w:t xml:space="preserve">Large merger </w:t>
            </w:r>
          </w:p>
        </w:tc>
        <w:tc>
          <w:tcPr>
            <w:tcW w:w="3198" w:type="dxa"/>
          </w:tcPr>
          <w:p w14:paraId="6F0BCE17" w14:textId="77777777" w:rsidR="005274E2" w:rsidRPr="009D2CC1" w:rsidRDefault="005274E2" w:rsidP="00DB6FD7">
            <w:pPr>
              <w:ind w:left="454" w:right="454"/>
              <w:jc w:val="both"/>
              <w:rPr>
                <w:rFonts w:ascii="Arial" w:hAnsi="Arial" w:cs="Arial"/>
                <w:color w:val="000000"/>
              </w:rPr>
            </w:pPr>
            <w:r w:rsidRPr="009D2CC1">
              <w:rPr>
                <w:rFonts w:ascii="Arial" w:hAnsi="Arial" w:cs="Arial"/>
                <w:color w:val="000000"/>
              </w:rPr>
              <w:t>Arcelormittal SA Limited And Thabazimbi Mine</w:t>
            </w:r>
          </w:p>
        </w:tc>
        <w:tc>
          <w:tcPr>
            <w:tcW w:w="2873" w:type="dxa"/>
          </w:tcPr>
          <w:p w14:paraId="32EE49D5" w14:textId="77777777" w:rsidR="005274E2" w:rsidRDefault="002A16E3" w:rsidP="00DB6FD7">
            <w:pPr>
              <w:ind w:left="454" w:right="454"/>
              <w:jc w:val="both"/>
              <w:rPr>
                <w:rFonts w:ascii="Arial" w:hAnsi="Arial" w:cs="Arial"/>
              </w:rPr>
            </w:pPr>
            <w:r>
              <w:rPr>
                <w:rFonts w:ascii="Arial" w:hAnsi="Arial" w:cs="Arial"/>
              </w:rPr>
              <w:t>Approve without conditions</w:t>
            </w:r>
          </w:p>
        </w:tc>
      </w:tr>
      <w:tr w:rsidR="005274E2" w:rsidRPr="00B0166C" w14:paraId="4CCA4A74" w14:textId="77777777" w:rsidTr="00DD2307">
        <w:trPr>
          <w:trHeight w:val="493"/>
        </w:trPr>
        <w:tc>
          <w:tcPr>
            <w:tcW w:w="3153" w:type="dxa"/>
          </w:tcPr>
          <w:p w14:paraId="7EDB204A" w14:textId="77777777" w:rsidR="005274E2" w:rsidRDefault="005274E2" w:rsidP="00DB6FD7">
            <w:pPr>
              <w:ind w:left="454" w:right="454"/>
              <w:jc w:val="both"/>
              <w:rPr>
                <w:rFonts w:ascii="Arial" w:hAnsi="Arial" w:cs="Arial"/>
              </w:rPr>
            </w:pPr>
            <w:r>
              <w:rPr>
                <w:rFonts w:ascii="Arial" w:hAnsi="Arial" w:cs="Arial"/>
              </w:rPr>
              <w:t>Large merger</w:t>
            </w:r>
          </w:p>
        </w:tc>
        <w:tc>
          <w:tcPr>
            <w:tcW w:w="3198" w:type="dxa"/>
          </w:tcPr>
          <w:p w14:paraId="3772B1FE" w14:textId="77777777" w:rsidR="005274E2" w:rsidRPr="009D2CC1" w:rsidRDefault="005274E2" w:rsidP="00DB6FD7">
            <w:pPr>
              <w:ind w:left="454" w:right="454"/>
              <w:jc w:val="both"/>
              <w:rPr>
                <w:rFonts w:ascii="Arial" w:hAnsi="Arial" w:cs="Arial"/>
                <w:color w:val="000000"/>
              </w:rPr>
            </w:pPr>
            <w:r w:rsidRPr="009D2CC1">
              <w:rPr>
                <w:rFonts w:ascii="Arial" w:hAnsi="Arial" w:cs="Arial"/>
                <w:color w:val="000000"/>
              </w:rPr>
              <w:t>Denel SOC Ltd And Turbomeca (Pty) Ltd</w:t>
            </w:r>
          </w:p>
        </w:tc>
        <w:tc>
          <w:tcPr>
            <w:tcW w:w="2873" w:type="dxa"/>
          </w:tcPr>
          <w:p w14:paraId="46232188" w14:textId="77777777" w:rsidR="005274E2" w:rsidRDefault="00DB6FD7" w:rsidP="00DB6FD7">
            <w:pPr>
              <w:ind w:left="454" w:right="454"/>
              <w:jc w:val="both"/>
              <w:rPr>
                <w:rFonts w:ascii="Arial" w:hAnsi="Arial" w:cs="Arial"/>
              </w:rPr>
            </w:pPr>
            <w:r>
              <w:rPr>
                <w:rFonts w:ascii="Arial" w:hAnsi="Arial" w:cs="Arial"/>
              </w:rPr>
              <w:t xml:space="preserve">Approve with conditions </w:t>
            </w:r>
          </w:p>
        </w:tc>
      </w:tr>
      <w:tr w:rsidR="005274E2" w:rsidRPr="00B0166C" w14:paraId="081A01CD" w14:textId="77777777" w:rsidTr="00DD2307">
        <w:trPr>
          <w:trHeight w:val="493"/>
        </w:trPr>
        <w:tc>
          <w:tcPr>
            <w:tcW w:w="3153" w:type="dxa"/>
          </w:tcPr>
          <w:p w14:paraId="07971B23" w14:textId="77777777" w:rsidR="005274E2" w:rsidRDefault="005274E2" w:rsidP="00DB6FD7">
            <w:pPr>
              <w:ind w:left="454" w:right="454"/>
              <w:jc w:val="both"/>
              <w:rPr>
                <w:rFonts w:ascii="Arial" w:hAnsi="Arial" w:cs="Arial"/>
              </w:rPr>
            </w:pPr>
            <w:r>
              <w:rPr>
                <w:rFonts w:ascii="Arial" w:hAnsi="Arial" w:cs="Arial"/>
              </w:rPr>
              <w:t xml:space="preserve">Large merger </w:t>
            </w:r>
          </w:p>
        </w:tc>
        <w:tc>
          <w:tcPr>
            <w:tcW w:w="3198" w:type="dxa"/>
          </w:tcPr>
          <w:p w14:paraId="4AF8BCC5" w14:textId="77777777" w:rsidR="005274E2" w:rsidRPr="009D2CC1" w:rsidRDefault="005274E2" w:rsidP="00DB6FD7">
            <w:pPr>
              <w:ind w:left="454" w:right="454"/>
              <w:jc w:val="both"/>
              <w:rPr>
                <w:rFonts w:ascii="Arial" w:hAnsi="Arial" w:cs="Arial"/>
                <w:color w:val="000000"/>
              </w:rPr>
            </w:pPr>
            <w:r w:rsidRPr="009D2CC1">
              <w:rPr>
                <w:rFonts w:ascii="Arial" w:hAnsi="Arial" w:cs="Arial"/>
                <w:color w:val="000000"/>
              </w:rPr>
              <w:t xml:space="preserve">Guardrisk Insurance Company Ltd And RMB Structured Insurance Limited  Personal Lines, Commercial Lines and </w:t>
            </w:r>
            <w:proofErr w:type="spellStart"/>
            <w:r w:rsidRPr="009D2CC1">
              <w:rPr>
                <w:rFonts w:ascii="Arial" w:hAnsi="Arial" w:cs="Arial"/>
                <w:color w:val="000000"/>
              </w:rPr>
              <w:t>SMart</w:t>
            </w:r>
            <w:proofErr w:type="spellEnd"/>
            <w:r w:rsidRPr="009D2CC1">
              <w:rPr>
                <w:rFonts w:ascii="Arial" w:hAnsi="Arial" w:cs="Arial"/>
                <w:color w:val="000000"/>
              </w:rPr>
              <w:t xml:space="preserve"> Device Insurance Business Managed by CIB (Pty) Ltd</w:t>
            </w:r>
          </w:p>
        </w:tc>
        <w:tc>
          <w:tcPr>
            <w:tcW w:w="2873" w:type="dxa"/>
          </w:tcPr>
          <w:p w14:paraId="436EAE1A" w14:textId="77777777" w:rsidR="005274E2" w:rsidRDefault="00DB6FD7" w:rsidP="00DB6FD7">
            <w:pPr>
              <w:ind w:left="454" w:right="454"/>
              <w:jc w:val="both"/>
              <w:rPr>
                <w:rFonts w:ascii="Arial" w:hAnsi="Arial" w:cs="Arial"/>
              </w:rPr>
            </w:pPr>
            <w:r>
              <w:rPr>
                <w:rFonts w:ascii="Arial" w:hAnsi="Arial" w:cs="Arial"/>
              </w:rPr>
              <w:t xml:space="preserve">Approve without conditions </w:t>
            </w:r>
          </w:p>
        </w:tc>
      </w:tr>
      <w:tr w:rsidR="005274E2" w:rsidRPr="00B0166C" w14:paraId="27C26CEB" w14:textId="77777777" w:rsidTr="00DD2307">
        <w:trPr>
          <w:trHeight w:val="493"/>
        </w:trPr>
        <w:tc>
          <w:tcPr>
            <w:tcW w:w="3153" w:type="dxa"/>
          </w:tcPr>
          <w:p w14:paraId="68C3CD97" w14:textId="77777777" w:rsidR="005274E2" w:rsidRDefault="005274E2" w:rsidP="00DB6FD7">
            <w:pPr>
              <w:ind w:left="454" w:right="454"/>
              <w:jc w:val="both"/>
              <w:rPr>
                <w:rFonts w:ascii="Arial" w:hAnsi="Arial" w:cs="Arial"/>
              </w:rPr>
            </w:pPr>
            <w:r>
              <w:rPr>
                <w:rFonts w:ascii="Arial" w:hAnsi="Arial" w:cs="Arial"/>
              </w:rPr>
              <w:t xml:space="preserve">Large merger </w:t>
            </w:r>
          </w:p>
        </w:tc>
        <w:tc>
          <w:tcPr>
            <w:tcW w:w="3198" w:type="dxa"/>
          </w:tcPr>
          <w:p w14:paraId="3AB31BEE" w14:textId="77777777" w:rsidR="005274E2" w:rsidRPr="009D2CC1" w:rsidRDefault="005274E2" w:rsidP="00DB6FD7">
            <w:pPr>
              <w:ind w:left="454" w:right="454"/>
              <w:jc w:val="both"/>
              <w:rPr>
                <w:rFonts w:ascii="Arial" w:hAnsi="Arial" w:cs="Arial"/>
                <w:color w:val="000000"/>
              </w:rPr>
            </w:pPr>
            <w:proofErr w:type="spellStart"/>
            <w:r w:rsidRPr="009D2CC1">
              <w:rPr>
                <w:rFonts w:ascii="Arial" w:hAnsi="Arial" w:cs="Arial"/>
                <w:color w:val="000000"/>
              </w:rPr>
              <w:t>Propertuity</w:t>
            </w:r>
            <w:proofErr w:type="spellEnd"/>
            <w:r w:rsidRPr="009D2CC1">
              <w:rPr>
                <w:rFonts w:ascii="Arial" w:hAnsi="Arial" w:cs="Arial"/>
                <w:color w:val="000000"/>
              </w:rPr>
              <w:t xml:space="preserve"> Development (Pty) Ltd And Redefine Properties Ltd In Respect of Jewel City</w:t>
            </w:r>
          </w:p>
        </w:tc>
        <w:tc>
          <w:tcPr>
            <w:tcW w:w="2873" w:type="dxa"/>
          </w:tcPr>
          <w:p w14:paraId="04435FE4" w14:textId="77777777" w:rsidR="005274E2" w:rsidRDefault="00DB6FD7" w:rsidP="00DB6FD7">
            <w:pPr>
              <w:ind w:left="454" w:right="454"/>
              <w:jc w:val="both"/>
              <w:rPr>
                <w:rFonts w:ascii="Arial" w:hAnsi="Arial" w:cs="Arial"/>
              </w:rPr>
            </w:pPr>
            <w:r>
              <w:rPr>
                <w:rFonts w:ascii="Arial" w:hAnsi="Arial" w:cs="Arial"/>
              </w:rPr>
              <w:t xml:space="preserve">Approve without conditions </w:t>
            </w:r>
          </w:p>
        </w:tc>
      </w:tr>
    </w:tbl>
    <w:p w14:paraId="68D94AF6" w14:textId="77777777" w:rsidR="005274E2" w:rsidRDefault="005274E2" w:rsidP="00DB6FD7">
      <w:pPr>
        <w:autoSpaceDE w:val="0"/>
        <w:autoSpaceDN w:val="0"/>
        <w:ind w:left="454" w:right="454"/>
        <w:contextualSpacing/>
        <w:jc w:val="both"/>
        <w:rPr>
          <w:rFonts w:ascii="Arial" w:eastAsia="Calibri" w:hAnsi="Arial" w:cs="Arial"/>
          <w:b/>
        </w:rPr>
      </w:pPr>
    </w:p>
    <w:p w14:paraId="731DA62A" w14:textId="77777777" w:rsidR="002A16E3" w:rsidRDefault="001A3F1D" w:rsidP="001A3F1D">
      <w:pPr>
        <w:autoSpaceDE w:val="0"/>
        <w:autoSpaceDN w:val="0"/>
        <w:spacing w:after="160" w:line="276" w:lineRule="auto"/>
        <w:ind w:left="454" w:right="454"/>
        <w:contextualSpacing/>
        <w:jc w:val="both"/>
        <w:rPr>
          <w:rFonts w:ascii="Arial" w:hAnsi="Arial" w:cs="Arial"/>
          <w:b/>
          <w:bCs/>
        </w:rPr>
      </w:pPr>
      <w:r>
        <w:rPr>
          <w:rFonts w:ascii="Arial" w:hAnsi="Arial" w:cs="Arial"/>
          <w:b/>
          <w:bCs/>
        </w:rPr>
        <w:t>ArcelorMittal South Africa</w:t>
      </w:r>
      <w:r w:rsidR="008C21C1">
        <w:rPr>
          <w:rFonts w:ascii="Arial" w:hAnsi="Arial" w:cs="Arial"/>
          <w:b/>
          <w:bCs/>
        </w:rPr>
        <w:t xml:space="preserve"> </w:t>
      </w:r>
      <w:r w:rsidR="00CF18EB">
        <w:rPr>
          <w:rFonts w:ascii="Arial" w:hAnsi="Arial" w:cs="Arial"/>
          <w:b/>
          <w:bCs/>
        </w:rPr>
        <w:t xml:space="preserve">to acquire </w:t>
      </w:r>
      <w:r w:rsidR="002A16E3">
        <w:rPr>
          <w:rFonts w:ascii="Arial" w:hAnsi="Arial" w:cs="Arial"/>
          <w:b/>
          <w:bCs/>
        </w:rPr>
        <w:t xml:space="preserve">Thabazimbi Mine </w:t>
      </w:r>
    </w:p>
    <w:p w14:paraId="537CA18D" w14:textId="77777777" w:rsidR="002A16E3" w:rsidRDefault="002A16E3" w:rsidP="00DB6FD7">
      <w:pPr>
        <w:autoSpaceDE w:val="0"/>
        <w:autoSpaceDN w:val="0"/>
        <w:spacing w:line="276" w:lineRule="auto"/>
        <w:ind w:left="454" w:right="454"/>
        <w:contextualSpacing/>
        <w:jc w:val="both"/>
        <w:rPr>
          <w:rFonts w:ascii="Arial" w:hAnsi="Arial" w:cs="Arial"/>
        </w:rPr>
      </w:pPr>
    </w:p>
    <w:p w14:paraId="6F4E87A5" w14:textId="77777777" w:rsidR="002A16E3" w:rsidRDefault="002A16E3" w:rsidP="00DB6FD7">
      <w:pPr>
        <w:autoSpaceDE w:val="0"/>
        <w:autoSpaceDN w:val="0"/>
        <w:spacing w:line="276" w:lineRule="auto"/>
        <w:ind w:left="454" w:right="454"/>
        <w:jc w:val="both"/>
        <w:rPr>
          <w:rFonts w:ascii="Arial" w:hAnsi="Arial" w:cs="Arial"/>
          <w:lang w:val="en-GB"/>
        </w:rPr>
      </w:pPr>
      <w:r>
        <w:rPr>
          <w:rFonts w:ascii="Arial" w:hAnsi="Arial" w:cs="Arial"/>
          <w:lang w:val="en-GB"/>
        </w:rPr>
        <w:t xml:space="preserve">The </w:t>
      </w:r>
      <w:r w:rsidR="001A3F1D">
        <w:rPr>
          <w:rFonts w:ascii="Arial" w:hAnsi="Arial" w:cs="Arial"/>
          <w:lang w:val="en-GB"/>
        </w:rPr>
        <w:t xml:space="preserve">Competition Tribunal </w:t>
      </w:r>
      <w:r>
        <w:rPr>
          <w:rFonts w:ascii="Arial" w:hAnsi="Arial" w:cs="Arial"/>
          <w:lang w:val="en-GB"/>
        </w:rPr>
        <w:t xml:space="preserve">has </w:t>
      </w:r>
      <w:r w:rsidR="001A3F1D">
        <w:rPr>
          <w:rFonts w:ascii="Arial" w:hAnsi="Arial" w:cs="Arial"/>
          <w:lang w:val="en-GB"/>
        </w:rPr>
        <w:t xml:space="preserve">approved </w:t>
      </w:r>
      <w:r>
        <w:rPr>
          <w:rFonts w:ascii="Arial" w:hAnsi="Arial" w:cs="Arial"/>
          <w:lang w:val="en-GB"/>
        </w:rPr>
        <w:t xml:space="preserve">large merger between </w:t>
      </w:r>
      <w:r>
        <w:rPr>
          <w:rFonts w:ascii="Arial" w:hAnsi="Arial" w:cs="Arial"/>
          <w:lang w:val="en-US"/>
        </w:rPr>
        <w:t xml:space="preserve">ArcelorMittal South Africa Limited and the Thabazimbi Mine from </w:t>
      </w:r>
      <w:r>
        <w:rPr>
          <w:rFonts w:ascii="Arial" w:hAnsi="Arial" w:cs="Arial"/>
          <w:lang w:val="en-GB"/>
        </w:rPr>
        <w:t>Sishen Iron Or</w:t>
      </w:r>
      <w:r w:rsidR="00045B40">
        <w:rPr>
          <w:rFonts w:ascii="Arial" w:hAnsi="Arial" w:cs="Arial"/>
          <w:lang w:val="en-GB"/>
        </w:rPr>
        <w:t xml:space="preserve">e Company (Pty) Ltd be </w:t>
      </w:r>
      <w:r>
        <w:rPr>
          <w:rFonts w:ascii="Arial" w:hAnsi="Arial" w:cs="Arial"/>
          <w:lang w:val="en-GB"/>
        </w:rPr>
        <w:t xml:space="preserve">without conditions. </w:t>
      </w:r>
    </w:p>
    <w:p w14:paraId="32B6B496" w14:textId="77777777" w:rsidR="002A16E3" w:rsidRDefault="002A16E3" w:rsidP="00DB6FD7">
      <w:pPr>
        <w:autoSpaceDE w:val="0"/>
        <w:autoSpaceDN w:val="0"/>
        <w:spacing w:line="276" w:lineRule="auto"/>
        <w:ind w:left="454" w:right="454"/>
        <w:jc w:val="both"/>
        <w:rPr>
          <w:rFonts w:ascii="Arial" w:hAnsi="Arial" w:cs="Arial"/>
          <w:lang w:val="en-GB"/>
        </w:rPr>
      </w:pPr>
    </w:p>
    <w:p w14:paraId="263AAAD9" w14:textId="77777777" w:rsidR="002A16E3" w:rsidRDefault="002A16E3" w:rsidP="00DB6FD7">
      <w:pPr>
        <w:spacing w:line="276" w:lineRule="auto"/>
        <w:ind w:left="454" w:right="454"/>
        <w:jc w:val="both"/>
        <w:rPr>
          <w:rFonts w:ascii="Arial" w:hAnsi="Arial" w:cs="Arial"/>
          <w:lang w:val="en-GB"/>
        </w:rPr>
      </w:pPr>
      <w:r>
        <w:rPr>
          <w:rFonts w:ascii="Arial" w:hAnsi="Arial" w:cs="Arial"/>
          <w:lang w:val="en-GB"/>
        </w:rPr>
        <w:t xml:space="preserve">AMSA, controlled by ArcelorMittal SA, manufacture and supplies of long and flat steel products in its operating facilities located in </w:t>
      </w:r>
      <w:r w:rsidR="00E16394">
        <w:rPr>
          <w:rFonts w:ascii="Arial" w:hAnsi="Arial" w:cs="Arial"/>
          <w:lang w:val="en-GB"/>
        </w:rPr>
        <w:t xml:space="preserve">Newcastle (KwaZulu-Natal) and </w:t>
      </w:r>
      <w:proofErr w:type="spellStart"/>
      <w:r w:rsidR="00E16394">
        <w:rPr>
          <w:rFonts w:ascii="Arial" w:hAnsi="Arial" w:cs="Arial"/>
          <w:lang w:val="en-GB"/>
        </w:rPr>
        <w:t>Va</w:t>
      </w:r>
      <w:r>
        <w:rPr>
          <w:rFonts w:ascii="Arial" w:hAnsi="Arial" w:cs="Arial"/>
          <w:lang w:val="en-GB"/>
        </w:rPr>
        <w:t>nderbijlpark</w:t>
      </w:r>
      <w:proofErr w:type="spellEnd"/>
      <w:r>
        <w:rPr>
          <w:rFonts w:ascii="Arial" w:hAnsi="Arial" w:cs="Arial"/>
          <w:lang w:val="en-GB"/>
        </w:rPr>
        <w:t xml:space="preserve"> (Gauteng). Th</w:t>
      </w:r>
      <w:r w:rsidR="009D2CC1">
        <w:rPr>
          <w:rFonts w:ascii="Arial" w:hAnsi="Arial" w:cs="Arial"/>
          <w:lang w:val="en-GB"/>
        </w:rPr>
        <w:t>r</w:t>
      </w:r>
      <w:r>
        <w:rPr>
          <w:rFonts w:ascii="Arial" w:hAnsi="Arial" w:cs="Arial"/>
          <w:lang w:val="en-GB"/>
        </w:rPr>
        <w:t>ough mines owned by AMSA it produces hematite iro</w:t>
      </w:r>
      <w:r w:rsidR="008C21C1">
        <w:rPr>
          <w:rFonts w:ascii="Arial" w:hAnsi="Arial" w:cs="Arial"/>
          <w:lang w:val="en-GB"/>
        </w:rPr>
        <w:t xml:space="preserve">n ore and magnetite iron ore. </w:t>
      </w:r>
    </w:p>
    <w:p w14:paraId="33B8FDD5" w14:textId="77777777" w:rsidR="009D2CC1" w:rsidRDefault="009D2CC1" w:rsidP="009D2CC1">
      <w:pPr>
        <w:spacing w:line="276" w:lineRule="auto"/>
        <w:ind w:right="454"/>
        <w:jc w:val="both"/>
        <w:rPr>
          <w:rFonts w:ascii="Arial" w:hAnsi="Arial" w:cs="Arial"/>
          <w:lang w:val="en-GB"/>
        </w:rPr>
      </w:pPr>
    </w:p>
    <w:p w14:paraId="5AEE944B" w14:textId="77777777" w:rsidR="002A16E3" w:rsidRDefault="002A16E3" w:rsidP="009D2CC1">
      <w:pPr>
        <w:spacing w:line="276" w:lineRule="auto"/>
        <w:ind w:left="454" w:right="454"/>
        <w:jc w:val="both"/>
        <w:rPr>
          <w:rFonts w:ascii="Arial" w:hAnsi="Arial" w:cs="Arial"/>
          <w:lang w:val="en-GB"/>
        </w:rPr>
      </w:pPr>
      <w:r>
        <w:rPr>
          <w:rFonts w:ascii="Arial" w:hAnsi="Arial" w:cs="Arial"/>
          <w:lang w:val="en-GB"/>
        </w:rPr>
        <w:t xml:space="preserve">The primary target firm is </w:t>
      </w:r>
      <w:r w:rsidR="00CF18EB">
        <w:rPr>
          <w:rFonts w:ascii="Arial" w:hAnsi="Arial" w:cs="Arial"/>
          <w:lang w:val="en-GB"/>
        </w:rPr>
        <w:t>Sishen Iron Ore Company</w:t>
      </w:r>
      <w:r>
        <w:rPr>
          <w:rFonts w:ascii="Arial" w:hAnsi="Arial" w:cs="Arial"/>
          <w:lang w:val="en-GB"/>
        </w:rPr>
        <w:t xml:space="preserve"> in respect of the Thabazimbi Mine. The Thabazimbi Mine is an iron ore mine and i</w:t>
      </w:r>
      <w:r w:rsidR="00CF18EB">
        <w:rPr>
          <w:rFonts w:ascii="Arial" w:hAnsi="Arial" w:cs="Arial"/>
          <w:lang w:val="en-GB"/>
        </w:rPr>
        <w:t xml:space="preserve">ts mining activities occur near </w:t>
      </w:r>
      <w:r w:rsidR="001A3F1D">
        <w:rPr>
          <w:rFonts w:ascii="Arial" w:hAnsi="Arial" w:cs="Arial"/>
          <w:lang w:val="en-GB"/>
        </w:rPr>
        <w:t xml:space="preserve">Thabazimbi, in Limpopo. The Thabazimbi Mine </w:t>
      </w:r>
      <w:r>
        <w:rPr>
          <w:rFonts w:ascii="Arial" w:hAnsi="Arial" w:cs="Arial"/>
          <w:lang w:val="en-GB"/>
        </w:rPr>
        <w:t xml:space="preserve">supply has been fully absorbed by AMSA’s steelworks in </w:t>
      </w:r>
      <w:proofErr w:type="spellStart"/>
      <w:r>
        <w:rPr>
          <w:rFonts w:ascii="Arial" w:hAnsi="Arial" w:cs="Arial"/>
          <w:lang w:val="en-GB"/>
        </w:rPr>
        <w:t>Vanderbijlpark</w:t>
      </w:r>
      <w:proofErr w:type="spellEnd"/>
      <w:r>
        <w:rPr>
          <w:rFonts w:ascii="Arial" w:hAnsi="Arial" w:cs="Arial"/>
          <w:lang w:val="en-GB"/>
        </w:rPr>
        <w:t xml:space="preserve"> and Newcastle. </w:t>
      </w:r>
    </w:p>
    <w:p w14:paraId="0DBBD8C4" w14:textId="77777777" w:rsidR="008C21C1" w:rsidRDefault="008C21C1" w:rsidP="00DB6FD7">
      <w:pPr>
        <w:spacing w:line="276" w:lineRule="auto"/>
        <w:ind w:left="454" w:right="454"/>
        <w:jc w:val="both"/>
        <w:rPr>
          <w:rFonts w:ascii="Arial" w:hAnsi="Arial" w:cs="Arial"/>
          <w:lang w:val="en-GB"/>
        </w:rPr>
      </w:pPr>
    </w:p>
    <w:p w14:paraId="7A7790AB" w14:textId="77777777" w:rsidR="005274E2" w:rsidRPr="009D2CC1" w:rsidRDefault="009D2CC1" w:rsidP="00DB6FD7">
      <w:pPr>
        <w:ind w:left="454" w:right="454"/>
        <w:contextualSpacing/>
        <w:jc w:val="both"/>
        <w:rPr>
          <w:rFonts w:ascii="Arial" w:hAnsi="Arial" w:cs="Arial"/>
          <w:b/>
          <w:color w:val="000000"/>
        </w:rPr>
      </w:pPr>
      <w:r w:rsidRPr="009D2CC1">
        <w:rPr>
          <w:rFonts w:ascii="Arial" w:hAnsi="Arial" w:cs="Arial"/>
          <w:b/>
          <w:color w:val="000000"/>
        </w:rPr>
        <w:t xml:space="preserve">Denel SOC Ltd </w:t>
      </w:r>
      <w:r w:rsidR="001A3F1D">
        <w:rPr>
          <w:rFonts w:ascii="Arial" w:hAnsi="Arial" w:cs="Arial"/>
          <w:b/>
          <w:color w:val="000000"/>
        </w:rPr>
        <w:t xml:space="preserve">merger </w:t>
      </w:r>
      <w:r w:rsidRPr="009D2CC1">
        <w:rPr>
          <w:rFonts w:ascii="Arial" w:hAnsi="Arial" w:cs="Arial"/>
          <w:b/>
          <w:color w:val="000000"/>
        </w:rPr>
        <w:t xml:space="preserve">with </w:t>
      </w:r>
      <w:r w:rsidR="002A16E3" w:rsidRPr="009D2CC1">
        <w:rPr>
          <w:rFonts w:ascii="Arial" w:hAnsi="Arial" w:cs="Arial"/>
          <w:b/>
          <w:color w:val="000000"/>
        </w:rPr>
        <w:t>Turbomeca</w:t>
      </w:r>
      <w:r w:rsidRPr="009D2CC1">
        <w:rPr>
          <w:rFonts w:ascii="Arial" w:hAnsi="Arial" w:cs="Arial"/>
          <w:b/>
          <w:color w:val="000000"/>
        </w:rPr>
        <w:t xml:space="preserve"> Africa</w:t>
      </w:r>
      <w:r w:rsidR="002A16E3" w:rsidRPr="009D2CC1">
        <w:rPr>
          <w:rFonts w:ascii="Arial" w:hAnsi="Arial" w:cs="Arial"/>
          <w:b/>
          <w:color w:val="000000"/>
        </w:rPr>
        <w:t xml:space="preserve"> (Pty) Ltd</w:t>
      </w:r>
      <w:r w:rsidR="001A3F1D">
        <w:rPr>
          <w:rFonts w:ascii="Arial" w:hAnsi="Arial" w:cs="Arial"/>
          <w:b/>
          <w:color w:val="000000"/>
        </w:rPr>
        <w:t xml:space="preserve"> approved</w:t>
      </w:r>
    </w:p>
    <w:p w14:paraId="57F5FC89" w14:textId="77777777" w:rsidR="002A16E3" w:rsidRDefault="002A16E3" w:rsidP="00DB6FD7">
      <w:pPr>
        <w:ind w:left="454" w:right="454"/>
        <w:contextualSpacing/>
        <w:jc w:val="both"/>
        <w:rPr>
          <w:rFonts w:ascii="Arial Narrow" w:hAnsi="Arial Narrow"/>
          <w:color w:val="000000"/>
        </w:rPr>
      </w:pPr>
    </w:p>
    <w:p w14:paraId="12E5FCE6" w14:textId="77777777" w:rsidR="002A16E3" w:rsidRDefault="002A16E3" w:rsidP="00DB6FD7">
      <w:pPr>
        <w:pStyle w:val="ListParagraph"/>
        <w:ind w:left="454" w:right="454"/>
        <w:rPr>
          <w:rFonts w:ascii="Arial" w:hAnsi="Arial" w:cs="Arial"/>
        </w:rPr>
      </w:pPr>
      <w:r>
        <w:rPr>
          <w:rFonts w:ascii="Arial" w:hAnsi="Arial" w:cs="Arial"/>
        </w:rPr>
        <w:t xml:space="preserve">The Tribunal </w:t>
      </w:r>
      <w:r w:rsidR="001A3F1D">
        <w:rPr>
          <w:rFonts w:ascii="Arial" w:hAnsi="Arial" w:cs="Arial"/>
        </w:rPr>
        <w:t xml:space="preserve">approved the </w:t>
      </w:r>
      <w:r>
        <w:rPr>
          <w:rFonts w:ascii="Arial" w:hAnsi="Arial" w:cs="Arial"/>
        </w:rPr>
        <w:t xml:space="preserve">merger involving </w:t>
      </w:r>
      <w:r w:rsidR="00CF18EB">
        <w:rPr>
          <w:rFonts w:ascii="Arial" w:hAnsi="Arial" w:cs="Arial"/>
        </w:rPr>
        <w:t xml:space="preserve">acquiring firm </w:t>
      </w:r>
      <w:r w:rsidRPr="0088759E">
        <w:rPr>
          <w:rFonts w:ascii="Arial" w:hAnsi="Arial" w:cs="Arial"/>
        </w:rPr>
        <w:t xml:space="preserve">Denel Soc Limited (“Denel”), </w:t>
      </w:r>
      <w:r w:rsidR="009D2CC1">
        <w:rPr>
          <w:rFonts w:ascii="Arial" w:hAnsi="Arial" w:cs="Arial"/>
        </w:rPr>
        <w:t xml:space="preserve">a </w:t>
      </w:r>
      <w:r w:rsidRPr="0088759E">
        <w:rPr>
          <w:rFonts w:ascii="Arial" w:hAnsi="Arial" w:cs="Arial"/>
        </w:rPr>
        <w:t>company wholly-owned and controlled by the South African government</w:t>
      </w:r>
      <w:r w:rsidR="009D2CC1">
        <w:rPr>
          <w:rFonts w:ascii="Arial" w:hAnsi="Arial" w:cs="Arial"/>
        </w:rPr>
        <w:t>,</w:t>
      </w:r>
      <w:r w:rsidRPr="0088759E">
        <w:rPr>
          <w:rFonts w:ascii="Arial" w:hAnsi="Arial" w:cs="Arial"/>
        </w:rPr>
        <w:t xml:space="preserve"> </w:t>
      </w:r>
      <w:r>
        <w:rPr>
          <w:rFonts w:ascii="Arial" w:hAnsi="Arial" w:cs="Arial"/>
        </w:rPr>
        <w:t xml:space="preserve">and </w:t>
      </w:r>
      <w:r w:rsidRPr="0088759E">
        <w:rPr>
          <w:rFonts w:ascii="Arial" w:hAnsi="Arial" w:cs="Arial"/>
        </w:rPr>
        <w:t>Turbomeca Africa (Pty) Ltd</w:t>
      </w:r>
      <w:r w:rsidR="001A3F1D">
        <w:rPr>
          <w:rFonts w:ascii="Arial" w:hAnsi="Arial" w:cs="Arial"/>
        </w:rPr>
        <w:t>.</w:t>
      </w:r>
    </w:p>
    <w:p w14:paraId="1C23B0F7" w14:textId="77777777" w:rsidR="001A3F1D" w:rsidRDefault="001A3F1D" w:rsidP="00DB6FD7">
      <w:pPr>
        <w:pStyle w:val="ListParagraph"/>
        <w:ind w:left="454" w:right="454"/>
        <w:rPr>
          <w:rFonts w:ascii="Arial" w:hAnsi="Arial" w:cs="Arial"/>
        </w:rPr>
      </w:pPr>
    </w:p>
    <w:p w14:paraId="2048AA0E" w14:textId="77777777" w:rsidR="00E16394" w:rsidRPr="00E16394" w:rsidRDefault="001A3F1D" w:rsidP="00E16394">
      <w:pPr>
        <w:pStyle w:val="ListParagraph"/>
        <w:ind w:left="454" w:right="454"/>
        <w:rPr>
          <w:rFonts w:ascii="Arial" w:hAnsi="Arial" w:cs="Arial"/>
        </w:rPr>
      </w:pPr>
      <w:r>
        <w:rPr>
          <w:rFonts w:ascii="Arial" w:hAnsi="Arial" w:cs="Arial"/>
        </w:rPr>
        <w:t>The Tribunal asked</w:t>
      </w:r>
      <w:r w:rsidR="00E16394">
        <w:rPr>
          <w:rFonts w:ascii="Arial" w:hAnsi="Arial" w:cs="Arial"/>
        </w:rPr>
        <w:t xml:space="preserve"> that an additional clause be added to conditions relating to public interest matters for the sake of clarity. The conditions </w:t>
      </w:r>
      <w:r w:rsidR="00E16394" w:rsidRPr="00E16394">
        <w:rPr>
          <w:rFonts w:ascii="Arial" w:hAnsi="Arial" w:cs="Arial"/>
        </w:rPr>
        <w:t xml:space="preserve">say that with the exception of affected employees, the merging parties and Safran HE shall not retrench any employees as a result of the merger for two years from the implementation date. </w:t>
      </w:r>
    </w:p>
    <w:p w14:paraId="1EB0A904" w14:textId="77777777" w:rsidR="00CF18EB" w:rsidRPr="0088759E" w:rsidRDefault="00CF18EB" w:rsidP="00DB6FD7">
      <w:pPr>
        <w:pStyle w:val="ListParagraph"/>
        <w:ind w:left="454" w:right="454"/>
        <w:rPr>
          <w:rFonts w:ascii="Arial" w:hAnsi="Arial" w:cs="Arial"/>
        </w:rPr>
      </w:pPr>
    </w:p>
    <w:p w14:paraId="7A50AE54" w14:textId="77777777" w:rsidR="002A16E3" w:rsidRDefault="002A16E3" w:rsidP="00DB6FD7">
      <w:pPr>
        <w:pStyle w:val="ListParagraph"/>
        <w:ind w:left="454" w:right="454"/>
        <w:jc w:val="both"/>
        <w:rPr>
          <w:rFonts w:ascii="Arial" w:hAnsi="Arial" w:cs="Arial"/>
        </w:rPr>
      </w:pPr>
      <w:r w:rsidRPr="0088759E">
        <w:rPr>
          <w:rFonts w:ascii="Arial" w:hAnsi="Arial" w:cs="Arial"/>
        </w:rPr>
        <w:t>Denel is a global defence and security equipment manufacturer and provider of related solutions for land, sea and air equipment such as art</w:t>
      </w:r>
      <w:r w:rsidR="009D2CC1">
        <w:rPr>
          <w:rFonts w:ascii="Arial" w:hAnsi="Arial" w:cs="Arial"/>
        </w:rPr>
        <w:t>illery, missiles, aircraft sub-</w:t>
      </w:r>
      <w:r w:rsidRPr="0088759E">
        <w:rPr>
          <w:rFonts w:ascii="Arial" w:hAnsi="Arial" w:cs="Arial"/>
        </w:rPr>
        <w:t>assembly, civil and military helicopters</w:t>
      </w:r>
      <w:r w:rsidR="009D2CC1">
        <w:rPr>
          <w:rFonts w:ascii="Arial" w:hAnsi="Arial" w:cs="Arial"/>
        </w:rPr>
        <w:t>,</w:t>
      </w:r>
      <w:r w:rsidRPr="0088759E">
        <w:rPr>
          <w:rFonts w:ascii="Arial" w:hAnsi="Arial" w:cs="Arial"/>
        </w:rPr>
        <w:t xml:space="preserve"> and it maintains propulsion systems. Denel is of strategic relevance to national security in South Africa since it provides defence, security and related technologies to the South African Air Force.</w:t>
      </w:r>
      <w:r w:rsidRPr="0088759E">
        <w:rPr>
          <w:rStyle w:val="FootnoteReference"/>
          <w:rFonts w:ascii="Arial" w:hAnsi="Arial" w:cs="Arial"/>
        </w:rPr>
        <w:t xml:space="preserve"> </w:t>
      </w:r>
    </w:p>
    <w:p w14:paraId="043CCF58" w14:textId="77777777" w:rsidR="00DB6FD7" w:rsidRPr="0088759E" w:rsidRDefault="00DB6FD7" w:rsidP="00DB6FD7">
      <w:pPr>
        <w:pStyle w:val="ListParagraph"/>
        <w:ind w:left="454" w:right="454"/>
        <w:jc w:val="both"/>
        <w:rPr>
          <w:rFonts w:ascii="Arial" w:hAnsi="Arial" w:cs="Arial"/>
        </w:rPr>
      </w:pPr>
    </w:p>
    <w:p w14:paraId="2BEB1C24" w14:textId="77777777" w:rsidR="002A16E3" w:rsidRDefault="002A16E3" w:rsidP="00DB6FD7">
      <w:pPr>
        <w:pStyle w:val="ListParagraph"/>
        <w:ind w:left="454" w:right="454"/>
        <w:jc w:val="both"/>
        <w:rPr>
          <w:rFonts w:ascii="Arial" w:hAnsi="Arial" w:cs="Arial"/>
        </w:rPr>
      </w:pPr>
      <w:r w:rsidRPr="0088759E">
        <w:rPr>
          <w:rFonts w:ascii="Arial" w:hAnsi="Arial" w:cs="Arial"/>
        </w:rPr>
        <w:t xml:space="preserve">The primary target firm is </w:t>
      </w:r>
      <w:r>
        <w:rPr>
          <w:rFonts w:ascii="Arial" w:hAnsi="Arial" w:cs="Arial"/>
        </w:rPr>
        <w:t>TMA</w:t>
      </w:r>
      <w:r w:rsidRPr="0088759E">
        <w:rPr>
          <w:rFonts w:ascii="Arial" w:hAnsi="Arial" w:cs="Arial"/>
        </w:rPr>
        <w:t>. TMA is a joint venture between Safran Helicopter Engines SAS, ultimately registered in France, and Denel. The joint venture was established in 2002 to support engines operated by SAAF.</w:t>
      </w:r>
    </w:p>
    <w:p w14:paraId="75A35B41" w14:textId="77777777" w:rsidR="00DB6FD7" w:rsidRPr="0088759E" w:rsidRDefault="00DB6FD7" w:rsidP="00DB6FD7">
      <w:pPr>
        <w:pStyle w:val="ListParagraph"/>
        <w:ind w:left="454" w:right="454"/>
        <w:jc w:val="both"/>
        <w:rPr>
          <w:rFonts w:ascii="Arial" w:hAnsi="Arial" w:cs="Arial"/>
        </w:rPr>
      </w:pPr>
    </w:p>
    <w:p w14:paraId="16F0C613" w14:textId="77777777" w:rsidR="002A16E3" w:rsidRDefault="002A16E3" w:rsidP="00DB6FD7">
      <w:pPr>
        <w:pStyle w:val="ListParagraph"/>
        <w:ind w:left="454" w:right="454"/>
        <w:jc w:val="both"/>
        <w:rPr>
          <w:rFonts w:ascii="Arial" w:hAnsi="Arial" w:cs="Arial"/>
        </w:rPr>
      </w:pPr>
      <w:r w:rsidRPr="0088759E">
        <w:rPr>
          <w:rFonts w:ascii="Arial" w:hAnsi="Arial" w:cs="Arial"/>
        </w:rPr>
        <w:t>TMA manufactures parts (new and spare parts) for Original Equipment Manufacturers for helicopter engines. In South Africa, TMA manufactures engine components for Safran HE, which are used to build helicopter engines supplied to Denel.</w:t>
      </w:r>
    </w:p>
    <w:p w14:paraId="2DEB8B50" w14:textId="77777777" w:rsidR="00DB6FD7" w:rsidRPr="0088759E" w:rsidRDefault="00DB6FD7" w:rsidP="00DB6FD7">
      <w:pPr>
        <w:pStyle w:val="ListParagraph"/>
        <w:ind w:left="454" w:right="454"/>
        <w:jc w:val="both"/>
        <w:rPr>
          <w:rFonts w:ascii="Arial" w:hAnsi="Arial" w:cs="Arial"/>
        </w:rPr>
      </w:pPr>
    </w:p>
    <w:p w14:paraId="404C4FAF" w14:textId="77777777" w:rsidR="002A16E3" w:rsidRDefault="002A16E3" w:rsidP="00E16394">
      <w:pPr>
        <w:pStyle w:val="ListParagraph"/>
        <w:ind w:left="454" w:right="454"/>
        <w:jc w:val="both"/>
        <w:rPr>
          <w:rFonts w:ascii="Arial" w:hAnsi="Arial" w:cs="Arial"/>
        </w:rPr>
      </w:pPr>
      <w:r w:rsidRPr="0088759E">
        <w:rPr>
          <w:rFonts w:ascii="Arial" w:hAnsi="Arial" w:cs="Arial"/>
        </w:rPr>
        <w:t>Post-merger, Denel will only acquire sole control of certain li</w:t>
      </w:r>
      <w:r>
        <w:rPr>
          <w:rFonts w:ascii="Arial" w:hAnsi="Arial" w:cs="Arial"/>
        </w:rPr>
        <w:t xml:space="preserve">mited aspects of TMA’s business. </w:t>
      </w:r>
      <w:r w:rsidRPr="0088759E">
        <w:rPr>
          <w:rFonts w:ascii="Arial" w:hAnsi="Arial" w:cs="Arial"/>
        </w:rPr>
        <w:t xml:space="preserve"> </w:t>
      </w:r>
    </w:p>
    <w:p w14:paraId="4A99BB53" w14:textId="77777777" w:rsidR="002A16E3" w:rsidRDefault="00DB6FD7" w:rsidP="00E16394">
      <w:pPr>
        <w:autoSpaceDE w:val="0"/>
        <w:autoSpaceDN w:val="0"/>
        <w:spacing w:after="160" w:line="276" w:lineRule="auto"/>
        <w:ind w:left="454" w:right="454"/>
        <w:contextualSpacing/>
        <w:jc w:val="both"/>
        <w:rPr>
          <w:rFonts w:ascii="Arial" w:hAnsi="Arial" w:cs="Arial"/>
          <w:b/>
          <w:bCs/>
        </w:rPr>
      </w:pPr>
      <w:r>
        <w:rPr>
          <w:rFonts w:ascii="Arial" w:hAnsi="Arial" w:cs="Arial"/>
          <w:b/>
          <w:bCs/>
        </w:rPr>
        <w:t>Guardrisk Insurance</w:t>
      </w:r>
      <w:r w:rsidR="00FC3E66">
        <w:rPr>
          <w:rFonts w:ascii="Arial" w:hAnsi="Arial" w:cs="Arial"/>
          <w:b/>
          <w:bCs/>
        </w:rPr>
        <w:t xml:space="preserve"> is to merge</w:t>
      </w:r>
      <w:r w:rsidR="009D2CC1">
        <w:rPr>
          <w:rFonts w:ascii="Arial" w:hAnsi="Arial" w:cs="Arial"/>
          <w:b/>
          <w:bCs/>
        </w:rPr>
        <w:t xml:space="preserve"> </w:t>
      </w:r>
      <w:r>
        <w:rPr>
          <w:rFonts w:ascii="Arial" w:hAnsi="Arial" w:cs="Arial"/>
          <w:b/>
          <w:bCs/>
        </w:rPr>
        <w:t xml:space="preserve">with </w:t>
      </w:r>
      <w:r w:rsidR="002A16E3">
        <w:rPr>
          <w:rFonts w:ascii="Arial" w:hAnsi="Arial" w:cs="Arial"/>
          <w:b/>
          <w:bCs/>
        </w:rPr>
        <w:t xml:space="preserve">RMB Structured Insurance Ltd personal lines, commercial lines and smart device insurance business managed by CIB (Pty) Ltd </w:t>
      </w:r>
    </w:p>
    <w:p w14:paraId="06B43553" w14:textId="77777777" w:rsidR="002A16E3" w:rsidRDefault="002A16E3" w:rsidP="00DB6FD7">
      <w:pPr>
        <w:autoSpaceDE w:val="0"/>
        <w:autoSpaceDN w:val="0"/>
        <w:spacing w:line="276" w:lineRule="auto"/>
        <w:ind w:left="454" w:right="454"/>
        <w:contextualSpacing/>
        <w:jc w:val="both"/>
        <w:rPr>
          <w:rFonts w:ascii="Arial" w:hAnsi="Arial" w:cs="Arial"/>
        </w:rPr>
      </w:pPr>
    </w:p>
    <w:p w14:paraId="4A6E6048" w14:textId="77777777" w:rsidR="002A16E3" w:rsidRDefault="002A16E3" w:rsidP="00DB6FD7">
      <w:pPr>
        <w:autoSpaceDE w:val="0"/>
        <w:autoSpaceDN w:val="0"/>
        <w:spacing w:line="276" w:lineRule="auto"/>
        <w:ind w:left="454" w:right="454"/>
        <w:jc w:val="both"/>
        <w:rPr>
          <w:rFonts w:ascii="Arial" w:hAnsi="Arial" w:cs="Arial"/>
          <w:lang w:val="en-GB"/>
        </w:rPr>
      </w:pPr>
      <w:r>
        <w:rPr>
          <w:rFonts w:ascii="Arial" w:hAnsi="Arial" w:cs="Arial"/>
          <w:lang w:val="en-GB"/>
        </w:rPr>
        <w:t>The Tribunal</w:t>
      </w:r>
      <w:r w:rsidR="00DB6FD7">
        <w:rPr>
          <w:rFonts w:ascii="Arial" w:hAnsi="Arial" w:cs="Arial"/>
          <w:lang w:val="en-GB"/>
        </w:rPr>
        <w:t xml:space="preserve"> is to hear a </w:t>
      </w:r>
      <w:r>
        <w:rPr>
          <w:rFonts w:ascii="Arial" w:hAnsi="Arial" w:cs="Arial"/>
          <w:lang w:val="en-GB"/>
        </w:rPr>
        <w:t xml:space="preserve">proposed large merger </w:t>
      </w:r>
      <w:r w:rsidR="00DB6FD7">
        <w:rPr>
          <w:rFonts w:ascii="Arial" w:hAnsi="Arial" w:cs="Arial"/>
          <w:lang w:val="en-GB"/>
        </w:rPr>
        <w:t xml:space="preserve">between </w:t>
      </w:r>
      <w:r>
        <w:rPr>
          <w:rFonts w:ascii="Arial" w:hAnsi="Arial" w:cs="Arial"/>
          <w:lang w:val="en-GB"/>
        </w:rPr>
        <w:t xml:space="preserve">Guardrisk Insurance Limited (Guardrisk) </w:t>
      </w:r>
      <w:r w:rsidR="00DB6FD7">
        <w:rPr>
          <w:rFonts w:ascii="Arial" w:hAnsi="Arial" w:cs="Arial"/>
          <w:lang w:val="en-GB"/>
        </w:rPr>
        <w:t xml:space="preserve">and </w:t>
      </w:r>
      <w:r>
        <w:rPr>
          <w:rFonts w:ascii="Arial" w:hAnsi="Arial" w:cs="Arial"/>
          <w:lang w:val="en-GB"/>
        </w:rPr>
        <w:t>RMB Structured Insurance Limited (RMBSI) personal lines, commercial lines and smart device insurance business managed by CIB (Pty) Ltd (CIB).</w:t>
      </w:r>
    </w:p>
    <w:p w14:paraId="07708DAA" w14:textId="77777777" w:rsidR="002A16E3" w:rsidRDefault="002A16E3" w:rsidP="00DB6FD7">
      <w:pPr>
        <w:autoSpaceDE w:val="0"/>
        <w:autoSpaceDN w:val="0"/>
        <w:spacing w:line="276" w:lineRule="auto"/>
        <w:ind w:left="454" w:right="454"/>
        <w:jc w:val="both"/>
        <w:rPr>
          <w:rFonts w:ascii="Arial" w:hAnsi="Arial" w:cs="Arial"/>
          <w:lang w:val="en-GB"/>
        </w:rPr>
      </w:pPr>
    </w:p>
    <w:p w14:paraId="03F76EA1" w14:textId="77777777" w:rsidR="002A16E3" w:rsidRDefault="002A16E3" w:rsidP="009D2CC1">
      <w:pPr>
        <w:spacing w:line="276" w:lineRule="auto"/>
        <w:ind w:left="454" w:right="454"/>
        <w:jc w:val="both"/>
        <w:rPr>
          <w:rFonts w:ascii="Arial" w:hAnsi="Arial" w:cs="Arial"/>
          <w:lang w:val="en-GB"/>
        </w:rPr>
      </w:pPr>
      <w:r>
        <w:rPr>
          <w:rFonts w:ascii="Arial" w:hAnsi="Arial" w:cs="Arial"/>
          <w:lang w:val="en-GB"/>
        </w:rPr>
        <w:t>Guardrisk is a wholly-owned subsidiar</w:t>
      </w:r>
      <w:r w:rsidR="00C638F9">
        <w:rPr>
          <w:rFonts w:ascii="Arial" w:hAnsi="Arial" w:cs="Arial"/>
          <w:lang w:val="en-GB"/>
        </w:rPr>
        <w:t xml:space="preserve">y of Guardrisk Group (Pty), </w:t>
      </w:r>
      <w:r w:rsidR="00DB6FD7">
        <w:rPr>
          <w:rFonts w:ascii="Arial" w:hAnsi="Arial" w:cs="Arial"/>
          <w:lang w:val="en-GB"/>
        </w:rPr>
        <w:t xml:space="preserve">ultimately controlled by </w:t>
      </w:r>
      <w:r>
        <w:rPr>
          <w:rFonts w:ascii="Arial" w:hAnsi="Arial" w:cs="Arial"/>
          <w:lang w:val="en-GB"/>
        </w:rPr>
        <w:t xml:space="preserve">MMI Holdings Limited. The MMI Group develops, markets and distributes short-term and long-term insurance products and offers asset management, savings, investments, healthcare administration, short-term insurance and employee benefits cover services. Guardrisk also provides long-term alternative risk transfer insurance products to corporates and retirement funds to cover post-retirement healthcare liabilities.  </w:t>
      </w:r>
    </w:p>
    <w:p w14:paraId="465BCEFC" w14:textId="77777777" w:rsidR="002A16E3" w:rsidRDefault="002A16E3" w:rsidP="009D2CC1">
      <w:pPr>
        <w:spacing w:line="276" w:lineRule="auto"/>
        <w:ind w:left="454" w:right="454"/>
        <w:contextualSpacing/>
        <w:jc w:val="both"/>
        <w:rPr>
          <w:rFonts w:ascii="Arial" w:hAnsi="Arial" w:cs="Arial"/>
        </w:rPr>
      </w:pPr>
    </w:p>
    <w:p w14:paraId="4B2071BD" w14:textId="77777777" w:rsidR="002A16E3" w:rsidRDefault="002A16E3" w:rsidP="009D2CC1">
      <w:pPr>
        <w:spacing w:line="276" w:lineRule="auto"/>
        <w:ind w:left="454" w:right="454"/>
        <w:jc w:val="both"/>
        <w:rPr>
          <w:rFonts w:ascii="Arial" w:hAnsi="Arial" w:cs="Arial"/>
          <w:lang w:val="en-GB"/>
        </w:rPr>
      </w:pPr>
      <w:r>
        <w:rPr>
          <w:rFonts w:ascii="Arial" w:hAnsi="Arial" w:cs="Arial"/>
          <w:lang w:val="en-GB"/>
        </w:rPr>
        <w:lastRenderedPageBreak/>
        <w:t xml:space="preserve">The primary target firm is RMBSI personal lines, commercial lines and smart device insurance business managed by CIB. RMBSI </w:t>
      </w:r>
      <w:r w:rsidR="00DB6FD7">
        <w:rPr>
          <w:rFonts w:ascii="Arial" w:hAnsi="Arial" w:cs="Arial"/>
          <w:lang w:val="en-GB"/>
        </w:rPr>
        <w:t xml:space="preserve">is ultimately controlled by </w:t>
      </w:r>
      <w:proofErr w:type="spellStart"/>
      <w:r>
        <w:rPr>
          <w:rFonts w:ascii="Arial" w:hAnsi="Arial" w:cs="Arial"/>
          <w:lang w:val="en-GB"/>
        </w:rPr>
        <w:t>Santam</w:t>
      </w:r>
      <w:proofErr w:type="spellEnd"/>
      <w:r>
        <w:rPr>
          <w:rFonts w:ascii="Arial" w:hAnsi="Arial" w:cs="Arial"/>
          <w:lang w:val="en-GB"/>
        </w:rPr>
        <w:t xml:space="preserve"> Limited. RMBSI is a short-term and long-term insurer. The</w:t>
      </w:r>
      <w:r w:rsidR="00537032">
        <w:rPr>
          <w:rFonts w:ascii="Arial" w:hAnsi="Arial" w:cs="Arial"/>
          <w:lang w:val="en-GB"/>
        </w:rPr>
        <w:t xml:space="preserve"> target businesses </w:t>
      </w:r>
      <w:r w:rsidR="00C638F9">
        <w:rPr>
          <w:rFonts w:ascii="Arial" w:hAnsi="Arial" w:cs="Arial"/>
          <w:lang w:val="en-GB"/>
        </w:rPr>
        <w:t>consist</w:t>
      </w:r>
      <w:r>
        <w:rPr>
          <w:rFonts w:ascii="Arial" w:hAnsi="Arial" w:cs="Arial"/>
          <w:lang w:val="en-GB"/>
        </w:rPr>
        <w:t xml:space="preserve"> of commercial lines and personal lines insurance policies and smart device insurance policies, mainly relating to property and motor risks, underwritten through brokers. CIB acts as the underwriting manager and acts through brokers when concluding the policies on behalf of RMBSI. </w:t>
      </w:r>
    </w:p>
    <w:p w14:paraId="36B8317C" w14:textId="77777777" w:rsidR="002A16E3" w:rsidRDefault="002A16E3" w:rsidP="009D2CC1">
      <w:pPr>
        <w:spacing w:line="276" w:lineRule="auto"/>
        <w:ind w:left="454" w:right="454"/>
        <w:jc w:val="both"/>
        <w:rPr>
          <w:rFonts w:ascii="Arial" w:hAnsi="Arial" w:cs="Arial"/>
          <w:lang w:val="en-GB"/>
        </w:rPr>
      </w:pPr>
    </w:p>
    <w:p w14:paraId="534F2302" w14:textId="77777777" w:rsidR="002A16E3" w:rsidRDefault="00355F79" w:rsidP="009D2CC1">
      <w:pPr>
        <w:autoSpaceDE w:val="0"/>
        <w:autoSpaceDN w:val="0"/>
        <w:spacing w:after="160" w:line="276" w:lineRule="auto"/>
        <w:ind w:left="454" w:right="454"/>
        <w:contextualSpacing/>
        <w:jc w:val="both"/>
        <w:rPr>
          <w:rFonts w:ascii="Arial" w:hAnsi="Arial" w:cs="Arial"/>
          <w:b/>
          <w:bCs/>
        </w:rPr>
      </w:pPr>
      <w:r>
        <w:rPr>
          <w:rFonts w:ascii="Arial" w:hAnsi="Arial" w:cs="Arial"/>
          <w:b/>
          <w:bCs/>
        </w:rPr>
        <w:t xml:space="preserve">Approval of merger of </w:t>
      </w:r>
      <w:proofErr w:type="spellStart"/>
      <w:r w:rsidR="002A16E3">
        <w:rPr>
          <w:rFonts w:ascii="Arial" w:hAnsi="Arial" w:cs="Arial"/>
          <w:b/>
          <w:bCs/>
        </w:rPr>
        <w:t>Propertuity</w:t>
      </w:r>
      <w:proofErr w:type="spellEnd"/>
      <w:r>
        <w:rPr>
          <w:rFonts w:ascii="Arial" w:hAnsi="Arial" w:cs="Arial"/>
          <w:b/>
          <w:bCs/>
        </w:rPr>
        <w:t xml:space="preserve"> Development (Pty) Ltd and </w:t>
      </w:r>
      <w:r w:rsidR="002A16E3">
        <w:rPr>
          <w:rFonts w:ascii="Arial" w:hAnsi="Arial" w:cs="Arial"/>
          <w:b/>
          <w:bCs/>
        </w:rPr>
        <w:t>Redefine Properties Limited in respect of the property letting enterprise known as Jewel City</w:t>
      </w:r>
    </w:p>
    <w:p w14:paraId="1DFEF013" w14:textId="77777777" w:rsidR="00DB6FD7" w:rsidRDefault="00DB6FD7" w:rsidP="009D2CC1">
      <w:pPr>
        <w:autoSpaceDE w:val="0"/>
        <w:autoSpaceDN w:val="0"/>
        <w:spacing w:line="276" w:lineRule="auto"/>
        <w:ind w:left="454" w:right="454"/>
        <w:jc w:val="both"/>
        <w:rPr>
          <w:rFonts w:ascii="Arial" w:hAnsi="Arial" w:cs="Arial"/>
          <w:lang w:val="en-GB"/>
        </w:rPr>
      </w:pPr>
    </w:p>
    <w:p w14:paraId="584CD567" w14:textId="77777777" w:rsidR="002A16E3" w:rsidRDefault="00DB6FD7" w:rsidP="009D2CC1">
      <w:pPr>
        <w:autoSpaceDE w:val="0"/>
        <w:autoSpaceDN w:val="0"/>
        <w:spacing w:line="276" w:lineRule="auto"/>
        <w:ind w:left="454" w:right="454"/>
        <w:jc w:val="both"/>
        <w:rPr>
          <w:rFonts w:ascii="Arial" w:hAnsi="Arial" w:cs="Arial"/>
          <w:lang w:val="en-GB"/>
        </w:rPr>
      </w:pPr>
      <w:r>
        <w:rPr>
          <w:rFonts w:ascii="Arial" w:hAnsi="Arial" w:cs="Arial"/>
          <w:lang w:val="en-GB"/>
        </w:rPr>
        <w:t xml:space="preserve">The proposed </w:t>
      </w:r>
      <w:r w:rsidR="002A16E3">
        <w:rPr>
          <w:rFonts w:ascii="Arial" w:hAnsi="Arial" w:cs="Arial"/>
          <w:lang w:val="en-GB"/>
        </w:rPr>
        <w:t xml:space="preserve">large merger </w:t>
      </w:r>
      <w:r>
        <w:rPr>
          <w:rFonts w:ascii="Arial" w:hAnsi="Arial" w:cs="Arial"/>
          <w:lang w:val="en-GB"/>
        </w:rPr>
        <w:t xml:space="preserve">between </w:t>
      </w:r>
      <w:proofErr w:type="spellStart"/>
      <w:r w:rsidR="002A16E3">
        <w:rPr>
          <w:rFonts w:ascii="Arial" w:hAnsi="Arial" w:cs="Arial"/>
          <w:lang w:val="en-US"/>
        </w:rPr>
        <w:t>Propertuity</w:t>
      </w:r>
      <w:proofErr w:type="spellEnd"/>
      <w:r w:rsidR="002A16E3">
        <w:rPr>
          <w:rFonts w:ascii="Arial" w:hAnsi="Arial" w:cs="Arial"/>
          <w:lang w:val="en-US"/>
        </w:rPr>
        <w:t xml:space="preserve"> Development (Pty) Ltd </w:t>
      </w:r>
      <w:r>
        <w:rPr>
          <w:rFonts w:ascii="Arial" w:hAnsi="Arial" w:cs="Arial"/>
          <w:lang w:val="en-US"/>
        </w:rPr>
        <w:t>and</w:t>
      </w:r>
      <w:r w:rsidR="002A16E3">
        <w:rPr>
          <w:rFonts w:ascii="Arial" w:hAnsi="Arial" w:cs="Arial"/>
          <w:lang w:val="en-US"/>
        </w:rPr>
        <w:t xml:space="preserve"> prope</w:t>
      </w:r>
      <w:r>
        <w:rPr>
          <w:rFonts w:ascii="Arial" w:hAnsi="Arial" w:cs="Arial"/>
          <w:lang w:val="en-US"/>
        </w:rPr>
        <w:t xml:space="preserve">rty letting enterprise </w:t>
      </w:r>
      <w:r w:rsidR="002A16E3">
        <w:rPr>
          <w:rFonts w:ascii="Arial" w:hAnsi="Arial" w:cs="Arial"/>
          <w:lang w:val="en-US"/>
        </w:rPr>
        <w:t xml:space="preserve">Jewel City owned by </w:t>
      </w:r>
      <w:r w:rsidR="002A16E3">
        <w:rPr>
          <w:rFonts w:ascii="Arial" w:hAnsi="Arial" w:cs="Arial"/>
          <w:lang w:val="en-GB"/>
        </w:rPr>
        <w:t>Redefin</w:t>
      </w:r>
      <w:r>
        <w:rPr>
          <w:rFonts w:ascii="Arial" w:hAnsi="Arial" w:cs="Arial"/>
          <w:lang w:val="en-GB"/>
        </w:rPr>
        <w:t xml:space="preserve">e Properties Limited (Redefine) is to be heard by the Tribunal. The Commission has recommended that the merger be approved without conditions. </w:t>
      </w:r>
    </w:p>
    <w:p w14:paraId="16A3BBB8" w14:textId="77777777" w:rsidR="002A16E3" w:rsidRDefault="002A16E3" w:rsidP="009D2CC1">
      <w:pPr>
        <w:autoSpaceDE w:val="0"/>
        <w:autoSpaceDN w:val="0"/>
        <w:spacing w:line="276" w:lineRule="auto"/>
        <w:ind w:left="454" w:right="454"/>
        <w:jc w:val="both"/>
        <w:rPr>
          <w:rFonts w:ascii="Arial" w:hAnsi="Arial" w:cs="Arial"/>
          <w:lang w:val="en-GB"/>
        </w:rPr>
      </w:pPr>
    </w:p>
    <w:p w14:paraId="22653985" w14:textId="77777777" w:rsidR="00355F79" w:rsidRDefault="002A16E3" w:rsidP="009D2CC1">
      <w:pPr>
        <w:spacing w:line="276" w:lineRule="auto"/>
        <w:ind w:left="454" w:right="454"/>
        <w:jc w:val="both"/>
        <w:rPr>
          <w:rFonts w:ascii="Arial" w:hAnsi="Arial" w:cs="Arial"/>
          <w:lang w:val="en-GB"/>
        </w:rPr>
      </w:pPr>
      <w:proofErr w:type="spellStart"/>
      <w:r>
        <w:rPr>
          <w:rFonts w:ascii="Arial" w:hAnsi="Arial" w:cs="Arial"/>
          <w:lang w:val="en-GB"/>
        </w:rPr>
        <w:t>Propertuity</w:t>
      </w:r>
      <w:proofErr w:type="spellEnd"/>
      <w:r>
        <w:rPr>
          <w:rFonts w:ascii="Arial" w:hAnsi="Arial" w:cs="Arial"/>
          <w:lang w:val="en-GB"/>
        </w:rPr>
        <w:t xml:space="preserve"> Development, its subsidiaries, controllers and subsidiaries of its controllers are collectively referred to as the “acquiring group.” The acquiring group is a property investment company with a core focus on property development and regeneration of urban spaces. It has a diversified portfolio of commercial, office, residential and retail properties throughout South Africa. </w:t>
      </w:r>
    </w:p>
    <w:p w14:paraId="205C5539" w14:textId="77777777" w:rsidR="00355F79" w:rsidRDefault="00355F79" w:rsidP="009D2CC1">
      <w:pPr>
        <w:spacing w:line="276" w:lineRule="auto"/>
        <w:ind w:left="454" w:right="454"/>
        <w:jc w:val="both"/>
        <w:rPr>
          <w:rFonts w:ascii="Arial" w:hAnsi="Arial" w:cs="Arial"/>
          <w:lang w:val="en-GB"/>
        </w:rPr>
      </w:pPr>
    </w:p>
    <w:p w14:paraId="113E1E23" w14:textId="77777777" w:rsidR="002A16E3" w:rsidRDefault="002A16E3" w:rsidP="009D2CC1">
      <w:pPr>
        <w:spacing w:line="276" w:lineRule="auto"/>
        <w:ind w:left="454" w:right="454"/>
        <w:jc w:val="both"/>
        <w:rPr>
          <w:rFonts w:ascii="Arial" w:hAnsi="Arial" w:cs="Arial"/>
          <w:lang w:val="en-GB"/>
        </w:rPr>
      </w:pPr>
      <w:r>
        <w:rPr>
          <w:rFonts w:ascii="Arial" w:hAnsi="Arial" w:cs="Arial"/>
          <w:lang w:val="en-GB"/>
        </w:rPr>
        <w:t xml:space="preserve">The target property is a Grade B office space located in Johannesburg, in Gauteng. </w:t>
      </w:r>
    </w:p>
    <w:p w14:paraId="1716E18F" w14:textId="77777777" w:rsidR="002A16E3" w:rsidRDefault="002A16E3" w:rsidP="00DB6FD7">
      <w:pPr>
        <w:spacing w:line="276" w:lineRule="auto"/>
        <w:ind w:left="454" w:right="454"/>
        <w:jc w:val="both"/>
        <w:rPr>
          <w:rFonts w:ascii="Arial" w:hAnsi="Arial" w:cs="Arial"/>
          <w:lang w:val="en-GB"/>
        </w:rPr>
      </w:pPr>
    </w:p>
    <w:p w14:paraId="63D7F14E" w14:textId="77777777" w:rsidR="005274E2" w:rsidRPr="001D0261" w:rsidRDefault="005274E2" w:rsidP="00C638F9">
      <w:pPr>
        <w:ind w:left="454" w:right="454"/>
        <w:jc w:val="both"/>
        <w:rPr>
          <w:rFonts w:ascii="Arial" w:hAnsi="Arial" w:cs="Arial"/>
          <w:lang w:eastAsia="en-ZA"/>
        </w:rPr>
      </w:pPr>
      <w:r w:rsidRPr="001D0261">
        <w:rPr>
          <w:rFonts w:ascii="Arial" w:hAnsi="Arial" w:cs="Arial"/>
          <w:color w:val="000000"/>
          <w:lang w:eastAsia="en-ZA"/>
        </w:rPr>
        <w:t xml:space="preserve">Issued by: </w:t>
      </w:r>
    </w:p>
    <w:p w14:paraId="6E512CAD" w14:textId="77777777" w:rsidR="005274E2" w:rsidRPr="001D0261" w:rsidRDefault="005274E2" w:rsidP="00C638F9">
      <w:pPr>
        <w:ind w:left="454" w:right="454"/>
        <w:jc w:val="both"/>
        <w:rPr>
          <w:rFonts w:ascii="Arial" w:hAnsi="Arial" w:cs="Arial"/>
          <w:color w:val="000000"/>
          <w:lang w:eastAsia="en-ZA"/>
        </w:rPr>
      </w:pPr>
      <w:r w:rsidRPr="001D0261">
        <w:rPr>
          <w:rFonts w:ascii="Arial" w:hAnsi="Arial" w:cs="Arial"/>
          <w:color w:val="000000"/>
          <w:lang w:eastAsia="en-ZA"/>
        </w:rPr>
        <w:t xml:space="preserve">Chantelle Benjamin </w:t>
      </w:r>
    </w:p>
    <w:p w14:paraId="3B2BE5E7" w14:textId="77777777" w:rsidR="005274E2" w:rsidRPr="001D0261" w:rsidRDefault="005274E2" w:rsidP="00C638F9">
      <w:pPr>
        <w:ind w:left="454" w:right="454"/>
        <w:jc w:val="both"/>
        <w:rPr>
          <w:rFonts w:ascii="Arial" w:hAnsi="Arial" w:cs="Arial"/>
          <w:color w:val="000000"/>
          <w:lang w:eastAsia="en-ZA"/>
        </w:rPr>
      </w:pPr>
      <w:r w:rsidRPr="001D0261">
        <w:rPr>
          <w:rFonts w:ascii="Arial" w:hAnsi="Arial" w:cs="Arial"/>
          <w:color w:val="000000"/>
          <w:lang w:eastAsia="en-ZA"/>
        </w:rPr>
        <w:t>Communications: Competition Tribunal   </w:t>
      </w:r>
    </w:p>
    <w:p w14:paraId="1E1FAEE7" w14:textId="77777777" w:rsidR="005274E2" w:rsidRPr="001D0261" w:rsidRDefault="005274E2" w:rsidP="00C638F9">
      <w:pPr>
        <w:ind w:left="454" w:right="454"/>
        <w:jc w:val="both"/>
        <w:rPr>
          <w:rFonts w:ascii="Arial" w:hAnsi="Arial" w:cs="Arial"/>
          <w:color w:val="000000"/>
          <w:lang w:eastAsia="en-ZA"/>
        </w:rPr>
      </w:pPr>
      <w:r w:rsidRPr="001D0261">
        <w:rPr>
          <w:rFonts w:ascii="Arial" w:hAnsi="Arial" w:cs="Arial"/>
          <w:color w:val="000000"/>
          <w:lang w:eastAsia="en-ZA"/>
        </w:rPr>
        <w:t xml:space="preserve">Tel (012)394 1383                                      </w:t>
      </w:r>
    </w:p>
    <w:p w14:paraId="4085A18B" w14:textId="77777777" w:rsidR="005274E2" w:rsidRPr="001D0261" w:rsidRDefault="005274E2" w:rsidP="00C638F9">
      <w:pPr>
        <w:ind w:left="454" w:right="454"/>
        <w:jc w:val="both"/>
        <w:rPr>
          <w:rFonts w:ascii="Arial" w:hAnsi="Arial" w:cs="Arial"/>
          <w:color w:val="000000"/>
          <w:lang w:eastAsia="en-ZA"/>
        </w:rPr>
      </w:pPr>
      <w:r w:rsidRPr="001D0261">
        <w:rPr>
          <w:rFonts w:ascii="Arial" w:hAnsi="Arial" w:cs="Arial"/>
          <w:color w:val="000000"/>
          <w:lang w:eastAsia="en-ZA"/>
        </w:rPr>
        <w:t>Cell: +27 (0) 73 007 5603  </w:t>
      </w:r>
    </w:p>
    <w:p w14:paraId="6193323A" w14:textId="77777777" w:rsidR="005274E2" w:rsidRPr="001D0261" w:rsidRDefault="005274E2" w:rsidP="00C638F9">
      <w:pPr>
        <w:ind w:left="454" w:right="454"/>
        <w:jc w:val="both"/>
        <w:rPr>
          <w:rFonts w:ascii="Arial" w:hAnsi="Arial" w:cs="Arial"/>
          <w:lang w:eastAsia="en-ZA"/>
        </w:rPr>
      </w:pPr>
      <w:r w:rsidRPr="001D0261">
        <w:rPr>
          <w:rFonts w:ascii="Arial" w:hAnsi="Arial" w:cs="Arial"/>
          <w:color w:val="000000"/>
          <w:lang w:eastAsia="en-ZA"/>
        </w:rPr>
        <w:t xml:space="preserve">Twitter: @comptrib                                        </w:t>
      </w:r>
    </w:p>
    <w:p w14:paraId="66FAC804" w14:textId="77777777" w:rsidR="005274E2" w:rsidRPr="001D0261" w:rsidRDefault="005274E2" w:rsidP="00C638F9">
      <w:pPr>
        <w:ind w:left="454" w:right="454"/>
        <w:jc w:val="both"/>
        <w:rPr>
          <w:rFonts w:ascii="Arial" w:hAnsi="Arial" w:cs="Arial"/>
        </w:rPr>
      </w:pPr>
      <w:r w:rsidRPr="001D0261">
        <w:rPr>
          <w:rFonts w:ascii="Arial" w:hAnsi="Arial" w:cs="Arial"/>
          <w:color w:val="000000"/>
          <w:lang w:eastAsia="en-ZA"/>
        </w:rPr>
        <w:t xml:space="preserve">E-Mail: </w:t>
      </w:r>
      <w:hyperlink r:id="rId6" w:history="1">
        <w:r w:rsidRPr="001D0261">
          <w:rPr>
            <w:rStyle w:val="Hyperlink"/>
            <w:rFonts w:ascii="Arial" w:hAnsi="Arial" w:cs="Arial"/>
            <w:lang w:eastAsia="en-ZA"/>
          </w:rPr>
          <w:t>chantelleb@comptrib.co.za</w:t>
        </w:r>
      </w:hyperlink>
      <w:r w:rsidRPr="001D0261">
        <w:rPr>
          <w:rFonts w:ascii="Arial" w:hAnsi="Arial" w:cs="Arial"/>
        </w:rPr>
        <w:t xml:space="preserve"> </w:t>
      </w:r>
    </w:p>
    <w:p w14:paraId="3DD81F57" w14:textId="77777777" w:rsidR="005274E2" w:rsidRPr="001D0261" w:rsidRDefault="005274E2" w:rsidP="00DB6FD7">
      <w:pPr>
        <w:ind w:left="454" w:right="454"/>
        <w:jc w:val="both"/>
        <w:rPr>
          <w:rFonts w:ascii="Arial" w:hAnsi="Arial" w:cs="Arial"/>
          <w:color w:val="000000"/>
        </w:rPr>
      </w:pPr>
    </w:p>
    <w:p w14:paraId="273716F0" w14:textId="77777777" w:rsidR="005274E2" w:rsidRPr="001D0261" w:rsidRDefault="005274E2" w:rsidP="00DB6FD7">
      <w:pPr>
        <w:ind w:left="454" w:right="454"/>
        <w:jc w:val="both"/>
        <w:rPr>
          <w:rFonts w:ascii="Arial" w:hAnsi="Arial" w:cs="Arial"/>
          <w:color w:val="000000"/>
        </w:rPr>
      </w:pPr>
    </w:p>
    <w:p w14:paraId="0777AFDC" w14:textId="77777777" w:rsidR="005274E2" w:rsidRPr="001D0261" w:rsidRDefault="005274E2" w:rsidP="00DB6FD7">
      <w:pPr>
        <w:ind w:left="454" w:right="454"/>
        <w:jc w:val="both"/>
        <w:rPr>
          <w:rFonts w:ascii="Arial" w:hAnsi="Arial" w:cs="Arial"/>
          <w:lang w:eastAsia="en-ZA"/>
        </w:rPr>
      </w:pPr>
      <w:r w:rsidRPr="001D0261">
        <w:rPr>
          <w:rFonts w:ascii="Arial" w:hAnsi="Arial" w:cs="Arial"/>
          <w:color w:val="000000"/>
          <w:lang w:eastAsia="en-ZA"/>
        </w:rPr>
        <w:t>On Behalf Of:</w:t>
      </w:r>
    </w:p>
    <w:p w14:paraId="15A24704" w14:textId="77777777" w:rsidR="005274E2" w:rsidRPr="001D0261" w:rsidRDefault="005274E2" w:rsidP="00DB6FD7">
      <w:pPr>
        <w:ind w:left="454" w:right="454"/>
        <w:jc w:val="both"/>
        <w:rPr>
          <w:rFonts w:ascii="Arial" w:hAnsi="Arial" w:cs="Arial"/>
          <w:lang w:eastAsia="en-ZA"/>
        </w:rPr>
      </w:pPr>
      <w:r w:rsidRPr="001D0261">
        <w:rPr>
          <w:rFonts w:ascii="Arial" w:hAnsi="Arial" w:cs="Arial"/>
          <w:color w:val="000000"/>
          <w:lang w:eastAsia="en-ZA"/>
        </w:rPr>
        <w:t>Lerato Motaung                                                   </w:t>
      </w:r>
    </w:p>
    <w:p w14:paraId="0D8B31DC" w14:textId="77777777" w:rsidR="005274E2" w:rsidRPr="001D0261" w:rsidRDefault="005274E2" w:rsidP="00DB6FD7">
      <w:pPr>
        <w:ind w:left="454" w:right="454"/>
        <w:jc w:val="both"/>
        <w:rPr>
          <w:rFonts w:ascii="Arial" w:hAnsi="Arial" w:cs="Arial"/>
          <w:lang w:eastAsia="en-ZA"/>
        </w:rPr>
      </w:pPr>
      <w:r w:rsidRPr="001D0261">
        <w:rPr>
          <w:rFonts w:ascii="Arial" w:hAnsi="Arial" w:cs="Arial"/>
          <w:color w:val="000000"/>
          <w:lang w:eastAsia="en-ZA"/>
        </w:rPr>
        <w:t xml:space="preserve">Registrar: Competition Tribunal                                         </w:t>
      </w:r>
    </w:p>
    <w:p w14:paraId="30046A63" w14:textId="77777777" w:rsidR="005274E2" w:rsidRPr="001D0261" w:rsidRDefault="005274E2" w:rsidP="00DB6FD7">
      <w:pPr>
        <w:ind w:left="454" w:right="454"/>
        <w:jc w:val="both"/>
        <w:rPr>
          <w:rFonts w:ascii="Arial" w:hAnsi="Arial" w:cs="Arial"/>
          <w:lang w:eastAsia="en-ZA"/>
        </w:rPr>
      </w:pPr>
      <w:r w:rsidRPr="001D0261">
        <w:rPr>
          <w:rFonts w:ascii="Arial" w:hAnsi="Arial" w:cs="Arial"/>
          <w:color w:val="000000"/>
          <w:lang w:eastAsia="en-ZA"/>
        </w:rPr>
        <w:t xml:space="preserve">Tel: (012) 394 3355                                              </w:t>
      </w:r>
    </w:p>
    <w:p w14:paraId="34722AE9" w14:textId="77777777" w:rsidR="005274E2" w:rsidRPr="001D0261" w:rsidRDefault="005274E2" w:rsidP="00DB6FD7">
      <w:pPr>
        <w:ind w:left="454" w:right="454"/>
        <w:jc w:val="both"/>
        <w:rPr>
          <w:rFonts w:ascii="Arial" w:hAnsi="Arial" w:cs="Arial"/>
          <w:lang w:eastAsia="en-ZA"/>
        </w:rPr>
      </w:pPr>
      <w:r w:rsidRPr="001D0261">
        <w:rPr>
          <w:rFonts w:ascii="Arial" w:hAnsi="Arial" w:cs="Arial"/>
          <w:color w:val="000000"/>
          <w:lang w:eastAsia="en-ZA"/>
        </w:rPr>
        <w:t xml:space="preserve">Cell: +27 (0) 82 556 3221                                               </w:t>
      </w:r>
    </w:p>
    <w:p w14:paraId="1AE50969" w14:textId="77777777" w:rsidR="005274E2" w:rsidRPr="001D0261" w:rsidRDefault="005274E2" w:rsidP="00DB6FD7">
      <w:pPr>
        <w:ind w:left="454" w:right="454"/>
        <w:jc w:val="both"/>
        <w:rPr>
          <w:rFonts w:ascii="Arial" w:hAnsi="Arial" w:cs="Arial"/>
        </w:rPr>
      </w:pPr>
      <w:r w:rsidRPr="001D0261">
        <w:rPr>
          <w:rFonts w:ascii="Arial" w:hAnsi="Arial" w:cs="Arial"/>
          <w:color w:val="000000"/>
          <w:lang w:eastAsia="en-ZA"/>
        </w:rPr>
        <w:t xml:space="preserve">E-Mail: </w:t>
      </w:r>
      <w:hyperlink r:id="rId7" w:history="1">
        <w:r w:rsidRPr="001D0261">
          <w:rPr>
            <w:rStyle w:val="Hyperlink"/>
            <w:rFonts w:ascii="Arial" w:hAnsi="Arial" w:cs="Arial"/>
            <w:lang w:eastAsia="en-ZA"/>
          </w:rPr>
          <w:t>LeratoM@comptrib.co.za</w:t>
        </w:r>
      </w:hyperlink>
    </w:p>
    <w:p w14:paraId="5FA6AFAC" w14:textId="77777777" w:rsidR="009641F1" w:rsidRDefault="009641F1" w:rsidP="009641F1">
      <w:pPr>
        <w:autoSpaceDE w:val="0"/>
        <w:autoSpaceDN w:val="0"/>
        <w:spacing w:after="160" w:line="276" w:lineRule="auto"/>
        <w:ind w:left="390"/>
        <w:contextualSpacing/>
        <w:jc w:val="both"/>
        <w:rPr>
          <w:rFonts w:ascii="Arial" w:hAnsi="Arial" w:cs="Arial"/>
          <w:b/>
          <w:bCs/>
        </w:rPr>
      </w:pPr>
    </w:p>
    <w:p w14:paraId="18AE51F9" w14:textId="77777777" w:rsidR="00C35EB2" w:rsidRDefault="00CA6BBB"/>
    <w:sectPr w:rsidR="00C35E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9026F8"/>
    <w:multiLevelType w:val="multilevel"/>
    <w:tmpl w:val="492213FE"/>
    <w:lvl w:ilvl="0">
      <w:start w:val="1"/>
      <w:numFmt w:val="decimal"/>
      <w:lvlText w:val="%1"/>
      <w:lvlJc w:val="left"/>
      <w:pPr>
        <w:ind w:left="390" w:hanging="390"/>
      </w:pPr>
      <w:rPr>
        <w:rFonts w:ascii="Arial" w:hAnsi="Arial" w:cs="Times New Roman" w:hint="default"/>
        <w:b/>
        <w:sz w:val="22"/>
      </w:rPr>
    </w:lvl>
    <w:lvl w:ilvl="1">
      <w:start w:val="1"/>
      <w:numFmt w:val="decimal"/>
      <w:lvlText w:val="%1.%2"/>
      <w:lvlJc w:val="left"/>
      <w:pPr>
        <w:ind w:left="390" w:hanging="390"/>
      </w:pPr>
      <w:rPr>
        <w:rFonts w:ascii="Arial" w:hAnsi="Arial" w:cs="Times New Roman" w:hint="default"/>
        <w:b/>
        <w:sz w:val="22"/>
      </w:rPr>
    </w:lvl>
    <w:lvl w:ilvl="2">
      <w:start w:val="1"/>
      <w:numFmt w:val="decimal"/>
      <w:lvlText w:val="%1.%2.%3"/>
      <w:lvlJc w:val="left"/>
      <w:pPr>
        <w:ind w:left="720" w:hanging="720"/>
      </w:pPr>
      <w:rPr>
        <w:rFonts w:ascii="Arial" w:hAnsi="Arial" w:cs="Times New Roman" w:hint="default"/>
        <w:b/>
        <w:sz w:val="22"/>
      </w:rPr>
    </w:lvl>
    <w:lvl w:ilvl="3">
      <w:start w:val="1"/>
      <w:numFmt w:val="decimal"/>
      <w:lvlText w:val="%1.%2.%3.%4"/>
      <w:lvlJc w:val="left"/>
      <w:pPr>
        <w:ind w:left="720" w:hanging="720"/>
      </w:pPr>
      <w:rPr>
        <w:rFonts w:ascii="Arial" w:hAnsi="Arial" w:cs="Times New Roman" w:hint="default"/>
        <w:b/>
        <w:sz w:val="22"/>
      </w:rPr>
    </w:lvl>
    <w:lvl w:ilvl="4">
      <w:start w:val="1"/>
      <w:numFmt w:val="decimal"/>
      <w:lvlText w:val="%1.%2.%3.%4.%5"/>
      <w:lvlJc w:val="left"/>
      <w:pPr>
        <w:ind w:left="1080" w:hanging="1080"/>
      </w:pPr>
      <w:rPr>
        <w:rFonts w:ascii="Arial" w:hAnsi="Arial" w:cs="Times New Roman" w:hint="default"/>
        <w:b/>
        <w:sz w:val="22"/>
      </w:rPr>
    </w:lvl>
    <w:lvl w:ilvl="5">
      <w:start w:val="1"/>
      <w:numFmt w:val="decimal"/>
      <w:lvlText w:val="%1.%2.%3.%4.%5.%6"/>
      <w:lvlJc w:val="left"/>
      <w:pPr>
        <w:ind w:left="1080" w:hanging="1080"/>
      </w:pPr>
      <w:rPr>
        <w:rFonts w:ascii="Arial" w:hAnsi="Arial" w:cs="Times New Roman" w:hint="default"/>
        <w:b/>
        <w:sz w:val="22"/>
      </w:rPr>
    </w:lvl>
    <w:lvl w:ilvl="6">
      <w:start w:val="1"/>
      <w:numFmt w:val="decimal"/>
      <w:lvlText w:val="%1.%2.%3.%4.%5.%6.%7"/>
      <w:lvlJc w:val="left"/>
      <w:pPr>
        <w:ind w:left="1440" w:hanging="1440"/>
      </w:pPr>
      <w:rPr>
        <w:rFonts w:ascii="Arial" w:hAnsi="Arial" w:cs="Times New Roman" w:hint="default"/>
        <w:b/>
        <w:sz w:val="22"/>
      </w:rPr>
    </w:lvl>
    <w:lvl w:ilvl="7">
      <w:start w:val="1"/>
      <w:numFmt w:val="decimal"/>
      <w:lvlText w:val="%1.%2.%3.%4.%5.%6.%7.%8"/>
      <w:lvlJc w:val="left"/>
      <w:pPr>
        <w:ind w:left="1440" w:hanging="1440"/>
      </w:pPr>
      <w:rPr>
        <w:rFonts w:ascii="Arial" w:hAnsi="Arial" w:cs="Times New Roman" w:hint="default"/>
        <w:b/>
        <w:sz w:val="22"/>
      </w:rPr>
    </w:lvl>
    <w:lvl w:ilvl="8">
      <w:start w:val="1"/>
      <w:numFmt w:val="decimal"/>
      <w:lvlText w:val="%1.%2.%3.%4.%5.%6.%7.%8.%9"/>
      <w:lvlJc w:val="left"/>
      <w:pPr>
        <w:ind w:left="1800" w:hanging="1800"/>
      </w:pPr>
      <w:rPr>
        <w:rFonts w:ascii="Arial" w:hAnsi="Arial" w:cs="Times New Roman" w:hint="default"/>
        <w:b/>
        <w:sz w:val="22"/>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382"/>
    <w:rsid w:val="00045B40"/>
    <w:rsid w:val="001A3F1D"/>
    <w:rsid w:val="002A16E3"/>
    <w:rsid w:val="002C52DC"/>
    <w:rsid w:val="00355F79"/>
    <w:rsid w:val="00375A93"/>
    <w:rsid w:val="003C165A"/>
    <w:rsid w:val="00482491"/>
    <w:rsid w:val="005274E2"/>
    <w:rsid w:val="00537032"/>
    <w:rsid w:val="005C12CE"/>
    <w:rsid w:val="00692382"/>
    <w:rsid w:val="008C21C1"/>
    <w:rsid w:val="009641F1"/>
    <w:rsid w:val="009D2CC1"/>
    <w:rsid w:val="00A568BC"/>
    <w:rsid w:val="00C638F9"/>
    <w:rsid w:val="00CA6BBB"/>
    <w:rsid w:val="00CF18EB"/>
    <w:rsid w:val="00DB6FD7"/>
    <w:rsid w:val="00E16394"/>
    <w:rsid w:val="00FC3E6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07032"/>
  <w15:chartTrackingRefBased/>
  <w15:docId w15:val="{FF66A389-9693-4AFF-B58F-407A75D9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38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7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74E2"/>
    <w:rPr>
      <w:color w:val="0000FF"/>
      <w:u w:val="single"/>
    </w:rPr>
  </w:style>
  <w:style w:type="paragraph" w:styleId="ListParagraph">
    <w:name w:val="List Paragraph"/>
    <w:basedOn w:val="Normal"/>
    <w:uiPriority w:val="34"/>
    <w:qFormat/>
    <w:rsid w:val="002A16E3"/>
    <w:pPr>
      <w:spacing w:after="200" w:line="276" w:lineRule="auto"/>
      <w:ind w:left="720"/>
      <w:contextualSpacing/>
    </w:pPr>
    <w:rPr>
      <w:rFonts w:asciiTheme="minorHAnsi" w:eastAsiaTheme="minorEastAsia" w:hAnsiTheme="minorHAnsi" w:cstheme="minorBidi"/>
      <w:lang w:eastAsia="en-ZA"/>
    </w:rPr>
  </w:style>
  <w:style w:type="character" w:styleId="FootnoteReference">
    <w:name w:val="footnote reference"/>
    <w:basedOn w:val="DefaultParagraphFont"/>
    <w:uiPriority w:val="99"/>
    <w:semiHidden/>
    <w:unhideWhenUsed/>
    <w:rsid w:val="002A16E3"/>
    <w:rPr>
      <w:vertAlign w:val="superscript"/>
    </w:rPr>
  </w:style>
  <w:style w:type="character" w:styleId="CommentReference">
    <w:name w:val="annotation reference"/>
    <w:basedOn w:val="DefaultParagraphFont"/>
    <w:uiPriority w:val="99"/>
    <w:semiHidden/>
    <w:unhideWhenUsed/>
    <w:rsid w:val="00E16394"/>
    <w:rPr>
      <w:sz w:val="16"/>
      <w:szCs w:val="16"/>
    </w:rPr>
  </w:style>
  <w:style w:type="paragraph" w:styleId="CommentText">
    <w:name w:val="annotation text"/>
    <w:basedOn w:val="Normal"/>
    <w:link w:val="CommentTextChar"/>
    <w:uiPriority w:val="99"/>
    <w:semiHidden/>
    <w:unhideWhenUsed/>
    <w:rsid w:val="00E16394"/>
    <w:rPr>
      <w:sz w:val="20"/>
      <w:szCs w:val="20"/>
    </w:rPr>
  </w:style>
  <w:style w:type="character" w:customStyle="1" w:styleId="CommentTextChar">
    <w:name w:val="Comment Text Char"/>
    <w:basedOn w:val="DefaultParagraphFont"/>
    <w:link w:val="CommentText"/>
    <w:uiPriority w:val="99"/>
    <w:semiHidden/>
    <w:rsid w:val="00E1639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16394"/>
    <w:rPr>
      <w:b/>
      <w:bCs/>
    </w:rPr>
  </w:style>
  <w:style w:type="character" w:customStyle="1" w:styleId="CommentSubjectChar">
    <w:name w:val="Comment Subject Char"/>
    <w:basedOn w:val="CommentTextChar"/>
    <w:link w:val="CommentSubject"/>
    <w:uiPriority w:val="99"/>
    <w:semiHidden/>
    <w:rsid w:val="00E16394"/>
    <w:rPr>
      <w:rFonts w:ascii="Calibri" w:hAnsi="Calibri" w:cs="Times New Roman"/>
      <w:b/>
      <w:bCs/>
      <w:sz w:val="20"/>
      <w:szCs w:val="20"/>
    </w:rPr>
  </w:style>
  <w:style w:type="paragraph" w:styleId="BalloonText">
    <w:name w:val="Balloon Text"/>
    <w:basedOn w:val="Normal"/>
    <w:link w:val="BalloonTextChar"/>
    <w:uiPriority w:val="99"/>
    <w:semiHidden/>
    <w:unhideWhenUsed/>
    <w:rsid w:val="00E163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3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5522">
      <w:bodyDiv w:val="1"/>
      <w:marLeft w:val="0"/>
      <w:marRight w:val="0"/>
      <w:marTop w:val="0"/>
      <w:marBottom w:val="0"/>
      <w:divBdr>
        <w:top w:val="none" w:sz="0" w:space="0" w:color="auto"/>
        <w:left w:val="none" w:sz="0" w:space="0" w:color="auto"/>
        <w:bottom w:val="none" w:sz="0" w:space="0" w:color="auto"/>
        <w:right w:val="none" w:sz="0" w:space="0" w:color="auto"/>
      </w:divBdr>
    </w:div>
    <w:div w:id="372658716">
      <w:bodyDiv w:val="1"/>
      <w:marLeft w:val="0"/>
      <w:marRight w:val="0"/>
      <w:marTop w:val="0"/>
      <w:marBottom w:val="0"/>
      <w:divBdr>
        <w:top w:val="none" w:sz="0" w:space="0" w:color="auto"/>
        <w:left w:val="none" w:sz="0" w:space="0" w:color="auto"/>
        <w:bottom w:val="none" w:sz="0" w:space="0" w:color="auto"/>
        <w:right w:val="none" w:sz="0" w:space="0" w:color="auto"/>
      </w:divBdr>
    </w:div>
    <w:div w:id="1564606561">
      <w:bodyDiv w:val="1"/>
      <w:marLeft w:val="0"/>
      <w:marRight w:val="0"/>
      <w:marTop w:val="0"/>
      <w:marBottom w:val="0"/>
      <w:divBdr>
        <w:top w:val="none" w:sz="0" w:space="0" w:color="auto"/>
        <w:left w:val="none" w:sz="0" w:space="0" w:color="auto"/>
        <w:bottom w:val="none" w:sz="0" w:space="0" w:color="auto"/>
        <w:right w:val="none" w:sz="0" w:space="0" w:color="auto"/>
      </w:divBdr>
    </w:div>
    <w:div w:id="213112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ratoM@comptrib.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AlistairV\AppData\Local\Microsoft\Windows\Temporary%20Internet%20Files\Content.Outlook\HMBET88G\chantelleb@comptrib.co.za"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Janeen De Klerk</cp:lastModifiedBy>
  <cp:revision>2</cp:revision>
  <dcterms:created xsi:type="dcterms:W3CDTF">2019-04-24T17:06:00Z</dcterms:created>
  <dcterms:modified xsi:type="dcterms:W3CDTF">2019-04-24T17:06:00Z</dcterms:modified>
</cp:coreProperties>
</file>