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29B79" w14:textId="77777777" w:rsidR="00D70B9A" w:rsidRPr="00FE209E" w:rsidRDefault="00D70B9A" w:rsidP="00DD6ECC">
      <w:pPr>
        <w:autoSpaceDE w:val="0"/>
        <w:autoSpaceDN w:val="0"/>
        <w:spacing w:after="160" w:line="276" w:lineRule="auto"/>
        <w:contextualSpacing/>
        <w:jc w:val="both"/>
        <w:rPr>
          <w:rFonts w:asciiTheme="minorHAnsi" w:hAnsiTheme="minorHAnsi" w:cstheme="minorHAnsi"/>
          <w:b/>
          <w:bCs/>
          <w:lang w:val="en-ZA"/>
        </w:rPr>
      </w:pPr>
      <w:bookmarkStart w:id="0" w:name="_GoBack"/>
      <w:bookmarkEnd w:id="0"/>
    </w:p>
    <w:p w14:paraId="66C32CD3" w14:textId="77777777" w:rsidR="00D70B9A" w:rsidRPr="00FE209E" w:rsidRDefault="00D70B9A" w:rsidP="00D70B9A">
      <w:pPr>
        <w:autoSpaceDE w:val="0"/>
        <w:autoSpaceDN w:val="0"/>
        <w:spacing w:after="160" w:line="276" w:lineRule="auto"/>
        <w:contextualSpacing/>
        <w:jc w:val="center"/>
        <w:rPr>
          <w:rFonts w:asciiTheme="minorHAnsi" w:hAnsiTheme="minorHAnsi" w:cstheme="minorHAnsi"/>
          <w:b/>
          <w:bCs/>
          <w:lang w:val="en-ZA"/>
        </w:rPr>
      </w:pPr>
      <w:r w:rsidRPr="00FE209E">
        <w:rPr>
          <w:rFonts w:asciiTheme="minorHAnsi" w:hAnsiTheme="minorHAnsi" w:cstheme="minorHAnsi"/>
          <w:b/>
          <w:noProof/>
        </w:rPr>
        <w:drawing>
          <wp:inline distT="0" distB="0" distL="0" distR="0" wp14:anchorId="0E6ECF08" wp14:editId="4C091962">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7">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689B7982" w14:textId="77777777" w:rsidR="00D70B9A" w:rsidRPr="00FE209E" w:rsidRDefault="00D70B9A" w:rsidP="00D70B9A">
      <w:pPr>
        <w:autoSpaceDE w:val="0"/>
        <w:autoSpaceDN w:val="0"/>
        <w:spacing w:after="160" w:line="276" w:lineRule="auto"/>
        <w:contextualSpacing/>
        <w:jc w:val="both"/>
        <w:rPr>
          <w:rFonts w:asciiTheme="minorHAnsi" w:hAnsiTheme="minorHAnsi" w:cstheme="minorHAnsi"/>
          <w:b/>
          <w:bCs/>
          <w:lang w:val="en-ZA"/>
        </w:rPr>
      </w:pPr>
    </w:p>
    <w:p w14:paraId="2F916EC8" w14:textId="77777777" w:rsidR="00D70B9A" w:rsidRPr="00FE209E" w:rsidRDefault="00D70B9A" w:rsidP="00D70B9A">
      <w:pPr>
        <w:ind w:left="454" w:right="454"/>
        <w:jc w:val="center"/>
        <w:rPr>
          <w:rFonts w:asciiTheme="minorHAnsi" w:hAnsiTheme="minorHAnsi" w:cstheme="minorHAnsi"/>
          <w:b/>
          <w:lang w:val="en-ZA"/>
        </w:rPr>
      </w:pPr>
      <w:r w:rsidRPr="00FE209E">
        <w:rPr>
          <w:rFonts w:asciiTheme="minorHAnsi" w:hAnsiTheme="minorHAnsi" w:cstheme="minorHAnsi"/>
          <w:b/>
          <w:lang w:val="en-ZA"/>
        </w:rPr>
        <w:t>OUTCOME OF TRIBUNAL HEARINGS - WEDNESDAY</w:t>
      </w:r>
      <w:r w:rsidR="00AD7E21" w:rsidRPr="00FE209E">
        <w:rPr>
          <w:rFonts w:asciiTheme="minorHAnsi" w:hAnsiTheme="minorHAnsi" w:cstheme="minorHAnsi"/>
          <w:b/>
          <w:lang w:val="en-ZA"/>
        </w:rPr>
        <w:t xml:space="preserve">, 19 JULY </w:t>
      </w:r>
    </w:p>
    <w:p w14:paraId="7953C07A" w14:textId="77777777" w:rsidR="00D70B9A" w:rsidRPr="00FE209E" w:rsidRDefault="00D70B9A" w:rsidP="00D70B9A">
      <w:pPr>
        <w:ind w:left="454" w:right="454"/>
        <w:jc w:val="both"/>
        <w:rPr>
          <w:rFonts w:asciiTheme="minorHAnsi" w:hAnsiTheme="minorHAnsi" w:cstheme="minorHAnsi"/>
          <w:b/>
          <w:lang w:val="en-ZA"/>
        </w:rPr>
      </w:pPr>
    </w:p>
    <w:p w14:paraId="1D0BEFA6" w14:textId="77777777" w:rsidR="00D70B9A" w:rsidRPr="00FE209E" w:rsidRDefault="00D70B9A" w:rsidP="00D70B9A">
      <w:pPr>
        <w:ind w:left="454" w:right="454"/>
        <w:jc w:val="both"/>
        <w:rPr>
          <w:rFonts w:asciiTheme="minorHAnsi" w:hAnsiTheme="minorHAnsi" w:cstheme="minorHAnsi"/>
          <w:b/>
          <w:lang w:val="en-ZA"/>
        </w:rPr>
      </w:pPr>
    </w:p>
    <w:p w14:paraId="6DF5795C" w14:textId="77777777" w:rsidR="00D70B9A" w:rsidRPr="00FE209E" w:rsidRDefault="00D70B9A" w:rsidP="00D70B9A">
      <w:pPr>
        <w:ind w:left="454" w:right="454"/>
        <w:rPr>
          <w:rFonts w:asciiTheme="minorHAnsi" w:hAnsiTheme="minorHAnsi" w:cstheme="minorHAnsi"/>
          <w:lang w:val="en-ZA"/>
        </w:rPr>
      </w:pPr>
    </w:p>
    <w:tbl>
      <w:tblPr>
        <w:tblStyle w:val="TableGrid"/>
        <w:tblW w:w="10559" w:type="dxa"/>
        <w:jc w:val="center"/>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ayout w:type="fixed"/>
        <w:tblLook w:val="04A0" w:firstRow="1" w:lastRow="0" w:firstColumn="1" w:lastColumn="0" w:noHBand="0" w:noVBand="1"/>
      </w:tblPr>
      <w:tblGrid>
        <w:gridCol w:w="2555"/>
        <w:gridCol w:w="2722"/>
        <w:gridCol w:w="3256"/>
        <w:gridCol w:w="2026"/>
      </w:tblGrid>
      <w:tr w:rsidR="00D70B9A" w:rsidRPr="00FE209E" w14:paraId="1CE6D768" w14:textId="77777777" w:rsidTr="00D70B9A">
        <w:trPr>
          <w:trHeight w:val="1150"/>
          <w:jc w:val="center"/>
        </w:trPr>
        <w:tc>
          <w:tcPr>
            <w:tcW w:w="2555" w:type="dxa"/>
            <w:shd w:val="clear" w:color="auto" w:fill="996633"/>
          </w:tcPr>
          <w:p w14:paraId="7D3DB840" w14:textId="77777777" w:rsidR="00D70B9A" w:rsidRPr="00FE209E" w:rsidRDefault="00D70B9A" w:rsidP="0042601F">
            <w:pPr>
              <w:ind w:left="454" w:right="454"/>
              <w:rPr>
                <w:rFonts w:asciiTheme="minorHAnsi" w:hAnsiTheme="minorHAnsi" w:cstheme="minorHAnsi"/>
                <w:color w:val="FFFFFF" w:themeColor="background1"/>
              </w:rPr>
            </w:pPr>
            <w:r w:rsidRPr="00FE209E">
              <w:rPr>
                <w:rFonts w:asciiTheme="minorHAnsi" w:hAnsiTheme="minorHAnsi" w:cstheme="minorHAnsi"/>
                <w:color w:val="FFFFFF" w:themeColor="background1"/>
              </w:rPr>
              <w:t>Type of matter</w:t>
            </w:r>
          </w:p>
        </w:tc>
        <w:tc>
          <w:tcPr>
            <w:tcW w:w="2722" w:type="dxa"/>
            <w:shd w:val="clear" w:color="auto" w:fill="996633"/>
          </w:tcPr>
          <w:p w14:paraId="43D27CF1" w14:textId="77777777" w:rsidR="00D70B9A" w:rsidRPr="00FE209E" w:rsidRDefault="00D70B9A" w:rsidP="0042601F">
            <w:pPr>
              <w:ind w:left="454" w:right="454"/>
              <w:rPr>
                <w:rFonts w:asciiTheme="minorHAnsi" w:hAnsiTheme="minorHAnsi" w:cstheme="minorHAnsi"/>
                <w:color w:val="FFFFFF" w:themeColor="background1"/>
              </w:rPr>
            </w:pPr>
            <w:r w:rsidRPr="00FE209E">
              <w:rPr>
                <w:rFonts w:asciiTheme="minorHAnsi" w:hAnsiTheme="minorHAnsi" w:cstheme="minorHAnsi"/>
                <w:color w:val="FFFFFF" w:themeColor="background1"/>
              </w:rPr>
              <w:t>Parties involved</w:t>
            </w:r>
          </w:p>
        </w:tc>
        <w:tc>
          <w:tcPr>
            <w:tcW w:w="3256" w:type="dxa"/>
            <w:shd w:val="clear" w:color="auto" w:fill="996633"/>
          </w:tcPr>
          <w:p w14:paraId="7D0FEF9B" w14:textId="77777777" w:rsidR="00D70B9A" w:rsidRPr="00FE209E" w:rsidRDefault="00D70B9A" w:rsidP="0042601F">
            <w:pPr>
              <w:ind w:left="454" w:right="454"/>
              <w:rPr>
                <w:rFonts w:asciiTheme="minorHAnsi" w:hAnsiTheme="minorHAnsi" w:cstheme="minorHAnsi"/>
                <w:color w:val="FFFFFF" w:themeColor="background1"/>
              </w:rPr>
            </w:pPr>
            <w:r w:rsidRPr="00FE209E">
              <w:rPr>
                <w:rFonts w:asciiTheme="minorHAnsi" w:hAnsiTheme="minorHAnsi" w:cstheme="minorHAnsi"/>
                <w:color w:val="FFFFFF" w:themeColor="background1"/>
              </w:rPr>
              <w:t>Competition Commission’s recommendation to Tribunal</w:t>
            </w:r>
          </w:p>
        </w:tc>
        <w:tc>
          <w:tcPr>
            <w:tcW w:w="2026" w:type="dxa"/>
            <w:shd w:val="clear" w:color="auto" w:fill="996633"/>
          </w:tcPr>
          <w:p w14:paraId="67680724" w14:textId="77777777" w:rsidR="00D70B9A" w:rsidRPr="00FE209E" w:rsidRDefault="00D70B9A" w:rsidP="0042601F">
            <w:pPr>
              <w:ind w:left="454" w:right="454"/>
              <w:rPr>
                <w:rFonts w:asciiTheme="minorHAnsi" w:hAnsiTheme="minorHAnsi" w:cstheme="minorHAnsi"/>
                <w:color w:val="FFFFFF" w:themeColor="background1"/>
              </w:rPr>
            </w:pPr>
            <w:r w:rsidRPr="00FE209E">
              <w:rPr>
                <w:rFonts w:asciiTheme="minorHAnsi" w:hAnsiTheme="minorHAnsi" w:cstheme="minorHAnsi"/>
                <w:color w:val="FFFFFF" w:themeColor="background1"/>
              </w:rPr>
              <w:t>Tribunal decision</w:t>
            </w:r>
          </w:p>
        </w:tc>
      </w:tr>
      <w:tr w:rsidR="00D70B9A" w:rsidRPr="00FE209E" w14:paraId="6BEE82CC" w14:textId="77777777" w:rsidTr="0042601F">
        <w:trPr>
          <w:trHeight w:val="497"/>
          <w:jc w:val="center"/>
        </w:trPr>
        <w:tc>
          <w:tcPr>
            <w:tcW w:w="2555" w:type="dxa"/>
          </w:tcPr>
          <w:p w14:paraId="5EE276C3" w14:textId="77777777" w:rsidR="00D70B9A" w:rsidRPr="00FE209E" w:rsidRDefault="00D70B9A" w:rsidP="0042601F">
            <w:pPr>
              <w:ind w:left="454" w:right="454"/>
              <w:rPr>
                <w:rFonts w:asciiTheme="minorHAnsi" w:hAnsiTheme="minorHAnsi" w:cstheme="minorHAnsi"/>
              </w:rPr>
            </w:pPr>
            <w:r w:rsidRPr="00FE209E">
              <w:rPr>
                <w:rFonts w:asciiTheme="minorHAnsi" w:hAnsiTheme="minorHAnsi" w:cstheme="minorHAnsi"/>
              </w:rPr>
              <w:t xml:space="preserve">Large merger </w:t>
            </w:r>
          </w:p>
        </w:tc>
        <w:tc>
          <w:tcPr>
            <w:tcW w:w="2722" w:type="dxa"/>
          </w:tcPr>
          <w:p w14:paraId="30F309B5" w14:textId="77777777" w:rsidR="00D70B9A" w:rsidRPr="00FE209E" w:rsidRDefault="00D70B9A" w:rsidP="00D70B9A">
            <w:pPr>
              <w:ind w:right="454"/>
              <w:rPr>
                <w:rFonts w:asciiTheme="minorHAnsi" w:hAnsiTheme="minorHAnsi" w:cstheme="minorHAnsi"/>
                <w:color w:val="000000"/>
              </w:rPr>
            </w:pPr>
            <w:r w:rsidRPr="00FE209E">
              <w:rPr>
                <w:rFonts w:asciiTheme="minorHAnsi" w:hAnsiTheme="minorHAnsi" w:cstheme="minorHAnsi"/>
                <w:color w:val="000000"/>
              </w:rPr>
              <w:t xml:space="preserve">Main Street 1514 (Pty) Ltd </w:t>
            </w:r>
            <w:proofErr w:type="gramStart"/>
            <w:r w:rsidRPr="00FE209E">
              <w:rPr>
                <w:rFonts w:asciiTheme="minorHAnsi" w:hAnsiTheme="minorHAnsi" w:cstheme="minorHAnsi"/>
                <w:color w:val="000000"/>
              </w:rPr>
              <w:t>And</w:t>
            </w:r>
            <w:proofErr w:type="gramEnd"/>
            <w:r w:rsidRPr="00FE209E">
              <w:rPr>
                <w:rFonts w:asciiTheme="minorHAnsi" w:hAnsiTheme="minorHAnsi" w:cstheme="minorHAnsi"/>
                <w:color w:val="000000"/>
              </w:rPr>
              <w:t xml:space="preserve"> </w:t>
            </w:r>
            <w:proofErr w:type="spellStart"/>
            <w:r w:rsidRPr="00FE209E">
              <w:rPr>
                <w:rFonts w:asciiTheme="minorHAnsi" w:hAnsiTheme="minorHAnsi" w:cstheme="minorHAnsi"/>
                <w:color w:val="000000"/>
              </w:rPr>
              <w:t>Mancosa</w:t>
            </w:r>
            <w:proofErr w:type="spellEnd"/>
            <w:r w:rsidRPr="00FE209E">
              <w:rPr>
                <w:rFonts w:asciiTheme="minorHAnsi" w:hAnsiTheme="minorHAnsi" w:cstheme="minorHAnsi"/>
                <w:color w:val="000000"/>
              </w:rPr>
              <w:t xml:space="preserve"> (Pty) Ltd and Regent Business School (Pty) Ltd</w:t>
            </w:r>
          </w:p>
        </w:tc>
        <w:tc>
          <w:tcPr>
            <w:tcW w:w="3256" w:type="dxa"/>
          </w:tcPr>
          <w:p w14:paraId="76C829AF" w14:textId="77777777" w:rsidR="00D70B9A" w:rsidRPr="00FE209E" w:rsidRDefault="00D70B9A" w:rsidP="0042601F">
            <w:pPr>
              <w:ind w:right="454"/>
              <w:rPr>
                <w:rFonts w:asciiTheme="minorHAnsi" w:hAnsiTheme="minorHAnsi" w:cstheme="minorHAnsi"/>
              </w:rPr>
            </w:pPr>
            <w:r w:rsidRPr="00FE209E">
              <w:rPr>
                <w:rFonts w:asciiTheme="minorHAnsi" w:hAnsiTheme="minorHAnsi" w:cstheme="minorHAnsi"/>
              </w:rPr>
              <w:t xml:space="preserve">Approve merger without conditions </w:t>
            </w:r>
          </w:p>
        </w:tc>
        <w:tc>
          <w:tcPr>
            <w:tcW w:w="2026" w:type="dxa"/>
          </w:tcPr>
          <w:p w14:paraId="77F422F8" w14:textId="77777777" w:rsidR="00D70B9A" w:rsidRPr="00FE209E" w:rsidRDefault="00D70B9A" w:rsidP="0042601F">
            <w:pPr>
              <w:ind w:right="454"/>
              <w:rPr>
                <w:rFonts w:asciiTheme="minorHAnsi" w:hAnsiTheme="minorHAnsi" w:cstheme="minorHAnsi"/>
              </w:rPr>
            </w:pPr>
            <w:r w:rsidRPr="00FE209E">
              <w:rPr>
                <w:rFonts w:asciiTheme="minorHAnsi" w:hAnsiTheme="minorHAnsi" w:cstheme="minorHAnsi"/>
              </w:rPr>
              <w:t xml:space="preserve">Approved merger without conditions </w:t>
            </w:r>
          </w:p>
        </w:tc>
      </w:tr>
      <w:tr w:rsidR="00D70B9A" w:rsidRPr="00FE209E" w14:paraId="0BEC2CCF" w14:textId="77777777" w:rsidTr="0042601F">
        <w:trPr>
          <w:trHeight w:val="497"/>
          <w:jc w:val="center"/>
        </w:trPr>
        <w:tc>
          <w:tcPr>
            <w:tcW w:w="2555" w:type="dxa"/>
          </w:tcPr>
          <w:p w14:paraId="381CABF2" w14:textId="77777777" w:rsidR="00D70B9A" w:rsidRPr="00FE209E" w:rsidRDefault="00D70B9A" w:rsidP="0042601F">
            <w:pPr>
              <w:ind w:left="454" w:right="454"/>
              <w:rPr>
                <w:rFonts w:asciiTheme="minorHAnsi" w:hAnsiTheme="minorHAnsi" w:cstheme="minorHAnsi"/>
              </w:rPr>
            </w:pPr>
            <w:r w:rsidRPr="00FE209E">
              <w:rPr>
                <w:rFonts w:asciiTheme="minorHAnsi" w:hAnsiTheme="minorHAnsi" w:cstheme="minorHAnsi"/>
              </w:rPr>
              <w:t xml:space="preserve">Settlement agreement </w:t>
            </w:r>
          </w:p>
        </w:tc>
        <w:tc>
          <w:tcPr>
            <w:tcW w:w="2722" w:type="dxa"/>
          </w:tcPr>
          <w:p w14:paraId="3EFD22AE" w14:textId="77777777" w:rsidR="00D70B9A" w:rsidRPr="00FE209E" w:rsidRDefault="00D70B9A" w:rsidP="0042601F">
            <w:pPr>
              <w:ind w:right="454"/>
              <w:rPr>
                <w:rFonts w:asciiTheme="minorHAnsi" w:hAnsiTheme="minorHAnsi" w:cstheme="minorHAnsi"/>
                <w:color w:val="000000"/>
              </w:rPr>
            </w:pPr>
            <w:r w:rsidRPr="00FE209E">
              <w:rPr>
                <w:rFonts w:asciiTheme="minorHAnsi" w:hAnsiTheme="minorHAnsi" w:cstheme="minorHAnsi"/>
                <w:color w:val="000000"/>
              </w:rPr>
              <w:t xml:space="preserve">Competition Commission </w:t>
            </w:r>
            <w:proofErr w:type="gramStart"/>
            <w:r w:rsidRPr="00FE209E">
              <w:rPr>
                <w:rFonts w:asciiTheme="minorHAnsi" w:hAnsiTheme="minorHAnsi" w:cstheme="minorHAnsi"/>
                <w:color w:val="000000"/>
              </w:rPr>
              <w:t>And</w:t>
            </w:r>
            <w:proofErr w:type="gramEnd"/>
            <w:r w:rsidRPr="00FE209E">
              <w:rPr>
                <w:rFonts w:asciiTheme="minorHAnsi" w:hAnsiTheme="minorHAnsi" w:cstheme="minorHAnsi"/>
                <w:color w:val="000000"/>
              </w:rPr>
              <w:t xml:space="preserve"> </w:t>
            </w:r>
            <w:proofErr w:type="spellStart"/>
            <w:r w:rsidRPr="00FE209E">
              <w:rPr>
                <w:rFonts w:asciiTheme="minorHAnsi" w:hAnsiTheme="minorHAnsi" w:cstheme="minorHAnsi"/>
                <w:color w:val="000000"/>
              </w:rPr>
              <w:t>Afrion</w:t>
            </w:r>
            <w:proofErr w:type="spellEnd"/>
            <w:r w:rsidRPr="00FE209E">
              <w:rPr>
                <w:rFonts w:asciiTheme="minorHAnsi" w:hAnsiTheme="minorHAnsi" w:cstheme="minorHAnsi"/>
                <w:color w:val="000000"/>
              </w:rPr>
              <w:t xml:space="preserve"> Property Service CC</w:t>
            </w:r>
          </w:p>
        </w:tc>
        <w:tc>
          <w:tcPr>
            <w:tcW w:w="3256" w:type="dxa"/>
          </w:tcPr>
          <w:p w14:paraId="102836CB" w14:textId="77777777" w:rsidR="00D70B9A" w:rsidRPr="00FE209E" w:rsidRDefault="00D70B9A" w:rsidP="00D70B9A">
            <w:pPr>
              <w:ind w:right="454"/>
              <w:rPr>
                <w:rFonts w:asciiTheme="minorHAnsi" w:hAnsiTheme="minorHAnsi" w:cstheme="minorHAnsi"/>
              </w:rPr>
            </w:pPr>
            <w:r w:rsidRPr="00FE209E">
              <w:rPr>
                <w:rFonts w:asciiTheme="minorHAnsi" w:hAnsiTheme="minorHAnsi" w:cstheme="minorHAnsi"/>
              </w:rPr>
              <w:t>Confirm settlement agreement</w:t>
            </w:r>
          </w:p>
        </w:tc>
        <w:tc>
          <w:tcPr>
            <w:tcW w:w="2026" w:type="dxa"/>
          </w:tcPr>
          <w:p w14:paraId="71CACB75" w14:textId="77777777" w:rsidR="00D70B9A" w:rsidRPr="00FE209E" w:rsidRDefault="00D70B9A" w:rsidP="0042601F">
            <w:pPr>
              <w:ind w:right="454"/>
              <w:rPr>
                <w:rFonts w:asciiTheme="minorHAnsi" w:hAnsiTheme="minorHAnsi" w:cstheme="minorHAnsi"/>
              </w:rPr>
            </w:pPr>
            <w:r w:rsidRPr="00FE209E">
              <w:rPr>
                <w:rFonts w:asciiTheme="minorHAnsi" w:hAnsiTheme="minorHAnsi" w:cstheme="minorHAnsi"/>
              </w:rPr>
              <w:t xml:space="preserve">Settlement agreement confirmed </w:t>
            </w:r>
          </w:p>
        </w:tc>
      </w:tr>
    </w:tbl>
    <w:p w14:paraId="7E7FCADA" w14:textId="77777777" w:rsidR="00D70B9A" w:rsidRPr="00FE209E" w:rsidRDefault="00D70B9A" w:rsidP="00D70B9A">
      <w:pPr>
        <w:autoSpaceDE w:val="0"/>
        <w:autoSpaceDN w:val="0"/>
        <w:spacing w:after="160"/>
        <w:ind w:left="454" w:right="454"/>
        <w:contextualSpacing/>
        <w:rPr>
          <w:rFonts w:asciiTheme="minorHAnsi" w:eastAsia="Calibri" w:hAnsiTheme="minorHAnsi" w:cstheme="minorHAnsi"/>
          <w:b/>
          <w:lang w:val="en-ZA"/>
        </w:rPr>
      </w:pPr>
    </w:p>
    <w:p w14:paraId="0795FC3E" w14:textId="77777777" w:rsidR="00D70B9A" w:rsidRPr="00FE209E" w:rsidRDefault="00D70B9A" w:rsidP="00D70B9A">
      <w:pPr>
        <w:rPr>
          <w:rFonts w:asciiTheme="minorHAnsi" w:hAnsiTheme="minorHAnsi" w:cstheme="minorHAnsi"/>
        </w:rPr>
      </w:pPr>
    </w:p>
    <w:p w14:paraId="1FFA917F" w14:textId="77777777" w:rsidR="00DD6ECC" w:rsidRPr="00FE209E" w:rsidRDefault="00D50208" w:rsidP="00FE209E">
      <w:pPr>
        <w:autoSpaceDE w:val="0"/>
        <w:autoSpaceDN w:val="0"/>
        <w:jc w:val="both"/>
        <w:rPr>
          <w:rFonts w:asciiTheme="minorHAnsi" w:hAnsiTheme="minorHAnsi" w:cstheme="minorHAnsi"/>
          <w:b/>
          <w:bCs/>
          <w:lang w:val="en-ZA"/>
        </w:rPr>
      </w:pPr>
      <w:r w:rsidRPr="00FE209E">
        <w:rPr>
          <w:rFonts w:asciiTheme="minorHAnsi" w:hAnsiTheme="minorHAnsi" w:cstheme="minorHAnsi"/>
          <w:b/>
          <w:bCs/>
          <w:lang w:val="en-ZA"/>
        </w:rPr>
        <w:t xml:space="preserve">Merger impacting on tertiary education services approved </w:t>
      </w:r>
    </w:p>
    <w:p w14:paraId="6AAC66BD" w14:textId="77777777" w:rsidR="003564E9" w:rsidRPr="00FE209E" w:rsidRDefault="003564E9" w:rsidP="00FE209E">
      <w:pPr>
        <w:autoSpaceDE w:val="0"/>
        <w:autoSpaceDN w:val="0"/>
        <w:jc w:val="both"/>
        <w:rPr>
          <w:rFonts w:asciiTheme="minorHAnsi" w:hAnsiTheme="minorHAnsi" w:cstheme="minorHAnsi"/>
          <w:b/>
          <w:bCs/>
          <w:lang w:val="en-ZA"/>
        </w:rPr>
      </w:pPr>
    </w:p>
    <w:p w14:paraId="72EE43F0" w14:textId="77777777" w:rsidR="003564E9" w:rsidRPr="00FE209E" w:rsidRDefault="003564E9" w:rsidP="00FE209E">
      <w:pPr>
        <w:autoSpaceDE w:val="0"/>
        <w:autoSpaceDN w:val="0"/>
        <w:jc w:val="both"/>
        <w:rPr>
          <w:rFonts w:asciiTheme="minorHAnsi" w:hAnsiTheme="minorHAnsi" w:cstheme="minorHAnsi"/>
          <w:lang w:val="en-GB"/>
        </w:rPr>
      </w:pPr>
      <w:r w:rsidRPr="00FE209E">
        <w:rPr>
          <w:rFonts w:asciiTheme="minorHAnsi" w:hAnsiTheme="minorHAnsi" w:cstheme="minorHAnsi"/>
          <w:lang w:val="en-ZA"/>
        </w:rPr>
        <w:t xml:space="preserve">The Tribunal has approved without conditions the merger whereby Main Street 1514 (Pty) Ltd (Main Street) will acquire </w:t>
      </w:r>
      <w:proofErr w:type="spellStart"/>
      <w:r w:rsidRPr="00FE209E">
        <w:rPr>
          <w:rFonts w:asciiTheme="minorHAnsi" w:hAnsiTheme="minorHAnsi" w:cstheme="minorHAnsi"/>
          <w:lang w:val="en-ZA"/>
        </w:rPr>
        <w:t>Mancosa</w:t>
      </w:r>
      <w:proofErr w:type="spellEnd"/>
      <w:r w:rsidRPr="00FE209E">
        <w:rPr>
          <w:rFonts w:asciiTheme="minorHAnsi" w:hAnsiTheme="minorHAnsi" w:cstheme="minorHAnsi"/>
          <w:lang w:val="en-ZA"/>
        </w:rPr>
        <w:t xml:space="preserve"> (Pty) Ltd (</w:t>
      </w:r>
      <w:proofErr w:type="spellStart"/>
      <w:r w:rsidRPr="00FE209E">
        <w:rPr>
          <w:rFonts w:asciiTheme="minorHAnsi" w:hAnsiTheme="minorHAnsi" w:cstheme="minorHAnsi"/>
          <w:lang w:val="en-ZA"/>
        </w:rPr>
        <w:t>Mancosa</w:t>
      </w:r>
      <w:proofErr w:type="spellEnd"/>
      <w:r w:rsidRPr="00FE209E">
        <w:rPr>
          <w:rFonts w:asciiTheme="minorHAnsi" w:hAnsiTheme="minorHAnsi" w:cstheme="minorHAnsi"/>
          <w:lang w:val="en-ZA"/>
        </w:rPr>
        <w:t xml:space="preserve">) and Regent Business School (Pty) Ltd (Regent) from </w:t>
      </w:r>
      <w:proofErr w:type="spellStart"/>
      <w:r w:rsidRPr="00FE209E">
        <w:rPr>
          <w:rFonts w:asciiTheme="minorHAnsi" w:hAnsiTheme="minorHAnsi" w:cstheme="minorHAnsi"/>
          <w:lang w:val="en-ZA"/>
        </w:rPr>
        <w:t>Mangro</w:t>
      </w:r>
      <w:proofErr w:type="spellEnd"/>
      <w:r w:rsidRPr="00FE209E">
        <w:rPr>
          <w:rFonts w:asciiTheme="minorHAnsi" w:hAnsiTheme="minorHAnsi" w:cstheme="minorHAnsi"/>
          <w:lang w:val="en-ZA"/>
        </w:rPr>
        <w:t xml:space="preserve"> Holdings (Pty) Ltd. The merger impacts on the market of </w:t>
      </w:r>
      <w:r w:rsidRPr="00FE209E">
        <w:rPr>
          <w:rFonts w:asciiTheme="minorHAnsi" w:eastAsia="Calibri" w:hAnsiTheme="minorHAnsi" w:cstheme="minorHAnsi"/>
        </w:rPr>
        <w:t>tertiary education services.</w:t>
      </w:r>
    </w:p>
    <w:p w14:paraId="39B141E1" w14:textId="77777777" w:rsidR="003564E9" w:rsidRPr="00FE209E" w:rsidRDefault="003564E9" w:rsidP="00FE209E">
      <w:pPr>
        <w:autoSpaceDE w:val="0"/>
        <w:autoSpaceDN w:val="0"/>
        <w:jc w:val="both"/>
        <w:rPr>
          <w:rFonts w:asciiTheme="minorHAnsi" w:hAnsiTheme="minorHAnsi" w:cstheme="minorHAnsi"/>
          <w:lang w:val="en-ZA"/>
        </w:rPr>
      </w:pPr>
    </w:p>
    <w:p w14:paraId="60391999" w14:textId="77777777" w:rsidR="003564E9" w:rsidRPr="00FE209E" w:rsidRDefault="003564E9" w:rsidP="00FE209E">
      <w:pPr>
        <w:jc w:val="both"/>
        <w:rPr>
          <w:rFonts w:asciiTheme="minorHAnsi" w:eastAsia="Calibri" w:hAnsiTheme="minorHAnsi" w:cstheme="minorHAnsi"/>
          <w:lang w:val="en-ZA"/>
        </w:rPr>
      </w:pPr>
      <w:r w:rsidRPr="00FE209E">
        <w:rPr>
          <w:rFonts w:asciiTheme="minorHAnsi" w:eastAsia="Calibri" w:hAnsiTheme="minorHAnsi" w:cstheme="minorHAnsi"/>
          <w:lang w:val="en-ZA"/>
        </w:rPr>
        <w:t xml:space="preserve">The acquiring firm Main Street has been established solely for purposes of this transaction. Main Street is a wholly-owned subsidiary of </w:t>
      </w:r>
      <w:proofErr w:type="spellStart"/>
      <w:r w:rsidRPr="00FE209E">
        <w:rPr>
          <w:rFonts w:asciiTheme="minorHAnsi" w:eastAsia="Calibri" w:hAnsiTheme="minorHAnsi" w:cstheme="minorHAnsi"/>
          <w:lang w:val="en-ZA"/>
        </w:rPr>
        <w:t>Actis</w:t>
      </w:r>
      <w:proofErr w:type="spellEnd"/>
      <w:r w:rsidRPr="00FE209E">
        <w:rPr>
          <w:rFonts w:asciiTheme="minorHAnsi" w:eastAsia="Calibri" w:hAnsiTheme="minorHAnsi" w:cstheme="minorHAnsi"/>
          <w:lang w:val="en-ZA"/>
        </w:rPr>
        <w:t xml:space="preserve"> Investment Holdings No.1 190 Limited (EMK SA (Mauritius)), which in turn is wholly-owned by Merging Markets Knowledge Holdings Limited (EMKH). EMKH is a company incorporated in Mauritius and controlled by </w:t>
      </w:r>
      <w:proofErr w:type="spellStart"/>
      <w:r w:rsidRPr="00FE209E">
        <w:rPr>
          <w:rFonts w:asciiTheme="minorHAnsi" w:eastAsia="Calibri" w:hAnsiTheme="minorHAnsi" w:cstheme="minorHAnsi"/>
          <w:lang w:val="en-ZA"/>
        </w:rPr>
        <w:t>Actis</w:t>
      </w:r>
      <w:proofErr w:type="spellEnd"/>
      <w:r w:rsidRPr="00FE209E">
        <w:rPr>
          <w:rFonts w:asciiTheme="minorHAnsi" w:eastAsia="Calibri" w:hAnsiTheme="minorHAnsi" w:cstheme="minorHAnsi"/>
          <w:lang w:val="en-ZA"/>
        </w:rPr>
        <w:t xml:space="preserve"> Africa 4 LP (</w:t>
      </w:r>
      <w:proofErr w:type="spellStart"/>
      <w:r w:rsidRPr="00FE209E">
        <w:rPr>
          <w:rFonts w:asciiTheme="minorHAnsi" w:eastAsia="Calibri" w:hAnsiTheme="minorHAnsi" w:cstheme="minorHAnsi"/>
          <w:lang w:val="en-ZA"/>
        </w:rPr>
        <w:t>Actis</w:t>
      </w:r>
      <w:proofErr w:type="spellEnd"/>
      <w:r w:rsidRPr="00FE209E">
        <w:rPr>
          <w:rFonts w:asciiTheme="minorHAnsi" w:eastAsia="Calibri" w:hAnsiTheme="minorHAnsi" w:cstheme="minorHAnsi"/>
          <w:lang w:val="en-ZA"/>
        </w:rPr>
        <w:t xml:space="preserve"> Africa 4) and </w:t>
      </w:r>
      <w:proofErr w:type="spellStart"/>
      <w:r w:rsidRPr="00FE209E">
        <w:rPr>
          <w:rFonts w:asciiTheme="minorHAnsi" w:eastAsia="Calibri" w:hAnsiTheme="minorHAnsi" w:cstheme="minorHAnsi"/>
          <w:lang w:val="en-ZA"/>
        </w:rPr>
        <w:t>Actis</w:t>
      </w:r>
      <w:proofErr w:type="spellEnd"/>
      <w:r w:rsidRPr="00FE209E">
        <w:rPr>
          <w:rFonts w:asciiTheme="minorHAnsi" w:eastAsia="Calibri" w:hAnsiTheme="minorHAnsi" w:cstheme="minorHAnsi"/>
          <w:lang w:val="en-ZA"/>
        </w:rPr>
        <w:t xml:space="preserve"> Global 4 LP (</w:t>
      </w:r>
      <w:proofErr w:type="spellStart"/>
      <w:r w:rsidRPr="00FE209E">
        <w:rPr>
          <w:rFonts w:asciiTheme="minorHAnsi" w:eastAsia="Calibri" w:hAnsiTheme="minorHAnsi" w:cstheme="minorHAnsi"/>
          <w:lang w:val="en-ZA"/>
        </w:rPr>
        <w:t>Actis</w:t>
      </w:r>
      <w:proofErr w:type="spellEnd"/>
      <w:r w:rsidRPr="00FE209E">
        <w:rPr>
          <w:rFonts w:asciiTheme="minorHAnsi" w:eastAsia="Calibri" w:hAnsiTheme="minorHAnsi" w:cstheme="minorHAnsi"/>
          <w:lang w:val="en-ZA"/>
        </w:rPr>
        <w:t xml:space="preserve"> Global 4) which are private equity investment funds. </w:t>
      </w:r>
      <w:proofErr w:type="spellStart"/>
      <w:r w:rsidRPr="00FE209E">
        <w:rPr>
          <w:rFonts w:asciiTheme="minorHAnsi" w:eastAsia="Calibri" w:hAnsiTheme="minorHAnsi" w:cstheme="minorHAnsi"/>
          <w:lang w:val="en-ZA"/>
        </w:rPr>
        <w:t>Actis</w:t>
      </w:r>
      <w:proofErr w:type="spellEnd"/>
      <w:r w:rsidRPr="00FE209E">
        <w:rPr>
          <w:rFonts w:asciiTheme="minorHAnsi" w:eastAsia="Calibri" w:hAnsiTheme="minorHAnsi" w:cstheme="minorHAnsi"/>
          <w:lang w:val="en-ZA"/>
        </w:rPr>
        <w:t xml:space="preserve"> Africa 4 and </w:t>
      </w:r>
      <w:proofErr w:type="spellStart"/>
      <w:r w:rsidRPr="00FE209E">
        <w:rPr>
          <w:rFonts w:asciiTheme="minorHAnsi" w:eastAsia="Calibri" w:hAnsiTheme="minorHAnsi" w:cstheme="minorHAnsi"/>
          <w:lang w:val="en-ZA"/>
        </w:rPr>
        <w:t>Actis</w:t>
      </w:r>
      <w:proofErr w:type="spellEnd"/>
      <w:r w:rsidRPr="00FE209E">
        <w:rPr>
          <w:rFonts w:asciiTheme="minorHAnsi" w:eastAsia="Calibri" w:hAnsiTheme="minorHAnsi" w:cstheme="minorHAnsi"/>
          <w:lang w:val="en-ZA"/>
        </w:rPr>
        <w:t xml:space="preserve"> Global 4 are both controlled by </w:t>
      </w:r>
      <w:proofErr w:type="spellStart"/>
      <w:r w:rsidRPr="00FE209E">
        <w:rPr>
          <w:rFonts w:asciiTheme="minorHAnsi" w:eastAsia="Calibri" w:hAnsiTheme="minorHAnsi" w:cstheme="minorHAnsi"/>
          <w:lang w:val="en-ZA"/>
        </w:rPr>
        <w:t>Actis</w:t>
      </w:r>
      <w:proofErr w:type="spellEnd"/>
      <w:r w:rsidRPr="00FE209E">
        <w:rPr>
          <w:rFonts w:asciiTheme="minorHAnsi" w:eastAsia="Calibri" w:hAnsiTheme="minorHAnsi" w:cstheme="minorHAnsi"/>
          <w:lang w:val="en-ZA"/>
        </w:rPr>
        <w:t xml:space="preserve"> GP LLP. All these firms will be referred to as the “</w:t>
      </w:r>
      <w:proofErr w:type="spellStart"/>
      <w:r w:rsidRPr="00FE209E">
        <w:rPr>
          <w:rFonts w:asciiTheme="minorHAnsi" w:eastAsia="Calibri" w:hAnsiTheme="minorHAnsi" w:cstheme="minorHAnsi"/>
          <w:lang w:val="en-ZA"/>
        </w:rPr>
        <w:t>Actis</w:t>
      </w:r>
      <w:proofErr w:type="spellEnd"/>
      <w:r w:rsidRPr="00FE209E">
        <w:rPr>
          <w:rFonts w:asciiTheme="minorHAnsi" w:eastAsia="Calibri" w:hAnsiTheme="minorHAnsi" w:cstheme="minorHAnsi"/>
          <w:lang w:val="en-ZA"/>
        </w:rPr>
        <w:t xml:space="preserve"> Group”.</w:t>
      </w:r>
    </w:p>
    <w:p w14:paraId="0997D9A7" w14:textId="77777777" w:rsidR="003564E9" w:rsidRPr="00FE209E" w:rsidRDefault="003564E9" w:rsidP="00FE209E">
      <w:pPr>
        <w:jc w:val="both"/>
        <w:rPr>
          <w:rFonts w:asciiTheme="minorHAnsi" w:eastAsia="Calibri" w:hAnsiTheme="minorHAnsi" w:cstheme="minorHAnsi"/>
          <w:lang w:val="en-ZA"/>
        </w:rPr>
      </w:pPr>
    </w:p>
    <w:p w14:paraId="218591B2" w14:textId="77777777" w:rsidR="003564E9" w:rsidRPr="00FE209E" w:rsidRDefault="003564E9" w:rsidP="00FE209E">
      <w:pPr>
        <w:jc w:val="both"/>
        <w:rPr>
          <w:rFonts w:asciiTheme="minorHAnsi" w:eastAsia="Calibri" w:hAnsiTheme="minorHAnsi" w:cstheme="minorHAnsi"/>
          <w:lang w:val="en-ZA"/>
        </w:rPr>
      </w:pPr>
      <w:r w:rsidRPr="00FE209E">
        <w:rPr>
          <w:rFonts w:asciiTheme="minorHAnsi" w:eastAsia="Calibri" w:hAnsiTheme="minorHAnsi" w:cstheme="minorHAnsi"/>
          <w:lang w:val="en-ZA"/>
        </w:rPr>
        <w:t xml:space="preserve">The </w:t>
      </w:r>
      <w:proofErr w:type="spellStart"/>
      <w:r w:rsidRPr="00FE209E">
        <w:rPr>
          <w:rFonts w:asciiTheme="minorHAnsi" w:eastAsia="Calibri" w:hAnsiTheme="minorHAnsi" w:cstheme="minorHAnsi"/>
          <w:lang w:val="en-ZA"/>
        </w:rPr>
        <w:t>Actis</w:t>
      </w:r>
      <w:proofErr w:type="spellEnd"/>
      <w:r w:rsidRPr="00FE209E">
        <w:rPr>
          <w:rFonts w:asciiTheme="minorHAnsi" w:eastAsia="Calibri" w:hAnsiTheme="minorHAnsi" w:cstheme="minorHAnsi"/>
          <w:lang w:val="en-ZA"/>
        </w:rPr>
        <w:t xml:space="preserve"> Group generally invests in buy-outs of companies or non-core divisions of large corporations and in private companies, with the aim of achieving rapid growth in a given sector. The </w:t>
      </w:r>
      <w:proofErr w:type="spellStart"/>
      <w:r w:rsidRPr="00FE209E">
        <w:rPr>
          <w:rFonts w:asciiTheme="minorHAnsi" w:eastAsia="Calibri" w:hAnsiTheme="minorHAnsi" w:cstheme="minorHAnsi"/>
          <w:lang w:val="en-ZA"/>
        </w:rPr>
        <w:t>Actis</w:t>
      </w:r>
      <w:proofErr w:type="spellEnd"/>
      <w:r w:rsidRPr="00FE209E">
        <w:rPr>
          <w:rFonts w:asciiTheme="minorHAnsi" w:eastAsia="Calibri" w:hAnsiTheme="minorHAnsi" w:cstheme="minorHAnsi"/>
          <w:lang w:val="en-ZA"/>
        </w:rPr>
        <w:t xml:space="preserve"> Group specifically targets the consumer, healthcare, financial services, industrial, energy and real estate sectors.  Of relevance to the proposed transaction is EMHK’s tertiary education buy-and-build platform that serves students in Morocco and Tunisia. EMKH’s anchor asset is the </w:t>
      </w:r>
      <w:proofErr w:type="spellStart"/>
      <w:r w:rsidRPr="00FE209E">
        <w:rPr>
          <w:rFonts w:asciiTheme="minorHAnsi" w:eastAsia="Calibri" w:hAnsiTheme="minorHAnsi" w:cstheme="minorHAnsi"/>
          <w:lang w:val="en-ZA"/>
        </w:rPr>
        <w:t>Universite</w:t>
      </w:r>
      <w:proofErr w:type="spellEnd"/>
      <w:r w:rsidRPr="00FE209E">
        <w:rPr>
          <w:rFonts w:asciiTheme="minorHAnsi" w:eastAsia="Calibri" w:hAnsiTheme="minorHAnsi" w:cstheme="minorHAnsi"/>
          <w:lang w:val="en-ZA"/>
        </w:rPr>
        <w:t xml:space="preserve"> Central Group (“UCG”), Tunisia’s largest private tertiary education provider. EMKH has no educational interests in South Africa. </w:t>
      </w:r>
    </w:p>
    <w:p w14:paraId="1C330BB8" w14:textId="77777777" w:rsidR="003564E9" w:rsidRPr="00FE209E" w:rsidRDefault="003564E9" w:rsidP="00FE209E">
      <w:pPr>
        <w:jc w:val="both"/>
        <w:rPr>
          <w:rFonts w:asciiTheme="minorHAnsi" w:eastAsia="Calibri" w:hAnsiTheme="minorHAnsi" w:cstheme="minorHAnsi"/>
        </w:rPr>
      </w:pPr>
      <w:proofErr w:type="spellStart"/>
      <w:r w:rsidRPr="00FE209E">
        <w:rPr>
          <w:rFonts w:asciiTheme="minorHAnsi" w:eastAsia="Calibri" w:hAnsiTheme="minorHAnsi" w:cstheme="minorHAnsi"/>
        </w:rPr>
        <w:t>Mancosa</w:t>
      </w:r>
      <w:proofErr w:type="spellEnd"/>
      <w:r w:rsidRPr="00FE209E">
        <w:rPr>
          <w:rFonts w:asciiTheme="minorHAnsi" w:eastAsia="Calibri" w:hAnsiTheme="minorHAnsi" w:cstheme="minorHAnsi"/>
        </w:rPr>
        <w:t xml:space="preserve"> and Regent provide tertiary education and offer long distance </w:t>
      </w:r>
      <w:proofErr w:type="spellStart"/>
      <w:r w:rsidRPr="00FE209E">
        <w:rPr>
          <w:rFonts w:asciiTheme="minorHAnsi" w:eastAsia="Calibri" w:hAnsiTheme="minorHAnsi" w:cstheme="minorHAnsi"/>
        </w:rPr>
        <w:t>programmes</w:t>
      </w:r>
      <w:proofErr w:type="spellEnd"/>
      <w:r w:rsidRPr="00FE209E">
        <w:rPr>
          <w:rFonts w:asciiTheme="minorHAnsi" w:eastAsia="Calibri" w:hAnsiTheme="minorHAnsi" w:cstheme="minorHAnsi"/>
        </w:rPr>
        <w:t xml:space="preserve"> for undergraduate and postgraduate students not only in South Africa but in the SADC region as well. </w:t>
      </w:r>
    </w:p>
    <w:p w14:paraId="6D555234" w14:textId="77777777" w:rsidR="003564E9" w:rsidRPr="00FE209E" w:rsidRDefault="003564E9" w:rsidP="00FE209E">
      <w:pPr>
        <w:jc w:val="both"/>
        <w:rPr>
          <w:rFonts w:asciiTheme="minorHAnsi" w:eastAsia="Calibri" w:hAnsiTheme="minorHAnsi" w:cstheme="minorHAnsi"/>
        </w:rPr>
      </w:pPr>
    </w:p>
    <w:p w14:paraId="7D3F9637" w14:textId="77777777" w:rsidR="003564E9" w:rsidRPr="00FE209E" w:rsidRDefault="003564E9" w:rsidP="00FE209E">
      <w:pPr>
        <w:jc w:val="both"/>
        <w:rPr>
          <w:rFonts w:asciiTheme="minorHAnsi" w:eastAsia="Calibri" w:hAnsiTheme="minorHAnsi" w:cstheme="minorHAnsi"/>
        </w:rPr>
      </w:pPr>
      <w:proofErr w:type="spellStart"/>
      <w:r w:rsidRPr="00FE209E">
        <w:rPr>
          <w:rFonts w:asciiTheme="minorHAnsi" w:eastAsia="Calibri" w:hAnsiTheme="minorHAnsi" w:cstheme="minorHAnsi"/>
        </w:rPr>
        <w:lastRenderedPageBreak/>
        <w:t>Mancosa’s</w:t>
      </w:r>
      <w:proofErr w:type="spellEnd"/>
      <w:r w:rsidRPr="00FE209E">
        <w:rPr>
          <w:rFonts w:asciiTheme="minorHAnsi" w:eastAsia="Calibri" w:hAnsiTheme="minorHAnsi" w:cstheme="minorHAnsi"/>
        </w:rPr>
        <w:t xml:space="preserve"> head offices are based in Durban, with various support </w:t>
      </w:r>
      <w:proofErr w:type="spellStart"/>
      <w:r w:rsidRPr="00FE209E">
        <w:rPr>
          <w:rFonts w:asciiTheme="minorHAnsi" w:eastAsia="Calibri" w:hAnsiTheme="minorHAnsi" w:cstheme="minorHAnsi"/>
        </w:rPr>
        <w:t>centres</w:t>
      </w:r>
      <w:proofErr w:type="spellEnd"/>
      <w:r w:rsidRPr="00FE209E">
        <w:rPr>
          <w:rFonts w:asciiTheme="minorHAnsi" w:eastAsia="Calibri" w:hAnsiTheme="minorHAnsi" w:cstheme="minorHAnsi"/>
        </w:rPr>
        <w:t xml:space="preserve"> used for sessions with students located in Johannesburg, Durban, East London and Pretoria amongst others. Regent offers courses supported by a wide range of facilities such as telephone support, face to face lectures, online and web support and virtual classrooms. </w:t>
      </w:r>
    </w:p>
    <w:p w14:paraId="0B72A99B" w14:textId="77777777" w:rsidR="003564E9" w:rsidRPr="00FE209E" w:rsidRDefault="003564E9" w:rsidP="00FE209E">
      <w:pPr>
        <w:jc w:val="both"/>
        <w:rPr>
          <w:rFonts w:asciiTheme="minorHAnsi" w:eastAsia="Calibri" w:hAnsiTheme="minorHAnsi" w:cstheme="minorHAnsi"/>
        </w:rPr>
      </w:pPr>
    </w:p>
    <w:p w14:paraId="48E148E5" w14:textId="77777777" w:rsidR="003564E9" w:rsidRPr="00FE209E" w:rsidRDefault="003564E9" w:rsidP="00FE209E">
      <w:pPr>
        <w:jc w:val="both"/>
        <w:rPr>
          <w:rFonts w:asciiTheme="minorHAnsi" w:eastAsia="Calibri" w:hAnsiTheme="minorHAnsi" w:cstheme="minorHAnsi"/>
        </w:rPr>
      </w:pPr>
      <w:r w:rsidRPr="00FE209E">
        <w:rPr>
          <w:rFonts w:asciiTheme="minorHAnsi" w:eastAsia="Calibri" w:hAnsiTheme="minorHAnsi" w:cstheme="minorHAnsi"/>
        </w:rPr>
        <w:t xml:space="preserve">Regent offers undergraduate and postgraduate </w:t>
      </w:r>
      <w:proofErr w:type="spellStart"/>
      <w:r w:rsidRPr="00FE209E">
        <w:rPr>
          <w:rFonts w:asciiTheme="minorHAnsi" w:eastAsia="Calibri" w:hAnsiTheme="minorHAnsi" w:cstheme="minorHAnsi"/>
        </w:rPr>
        <w:t>programmes</w:t>
      </w:r>
      <w:proofErr w:type="spellEnd"/>
      <w:r w:rsidRPr="00FE209E">
        <w:rPr>
          <w:rFonts w:asciiTheme="minorHAnsi" w:eastAsia="Calibri" w:hAnsiTheme="minorHAnsi" w:cstheme="minorHAnsi"/>
        </w:rPr>
        <w:t xml:space="preserve"> together with short courses and Sector Education and Training Authority (“SETA”) </w:t>
      </w:r>
      <w:proofErr w:type="spellStart"/>
      <w:r w:rsidRPr="00FE209E">
        <w:rPr>
          <w:rFonts w:asciiTheme="minorHAnsi" w:eastAsia="Calibri" w:hAnsiTheme="minorHAnsi" w:cstheme="minorHAnsi"/>
        </w:rPr>
        <w:t>programmes</w:t>
      </w:r>
      <w:proofErr w:type="spellEnd"/>
      <w:r w:rsidRPr="00FE209E">
        <w:rPr>
          <w:rFonts w:asciiTheme="minorHAnsi" w:eastAsia="Calibri" w:hAnsiTheme="minorHAnsi" w:cstheme="minorHAnsi"/>
        </w:rPr>
        <w:t xml:space="preserve">. The acquiring firm has no educational interests in South Africa.  </w:t>
      </w:r>
    </w:p>
    <w:p w14:paraId="05B64BC4" w14:textId="77777777" w:rsidR="004B07EB" w:rsidRPr="00FE209E" w:rsidRDefault="004B07EB" w:rsidP="00FE209E">
      <w:pPr>
        <w:jc w:val="both"/>
        <w:rPr>
          <w:rFonts w:asciiTheme="minorHAnsi" w:eastAsia="Calibri" w:hAnsiTheme="minorHAnsi" w:cstheme="minorHAnsi"/>
        </w:rPr>
      </w:pPr>
    </w:p>
    <w:p w14:paraId="3D855820" w14:textId="77777777" w:rsidR="00FE209E" w:rsidRPr="00FE209E" w:rsidRDefault="00FE209E" w:rsidP="00FE209E">
      <w:pPr>
        <w:spacing w:line="360" w:lineRule="auto"/>
        <w:jc w:val="both"/>
        <w:rPr>
          <w:rFonts w:asciiTheme="minorHAnsi" w:hAnsiTheme="minorHAnsi" w:cstheme="minorHAnsi"/>
          <w:b/>
          <w:bCs/>
          <w:lang w:val="en-GB"/>
        </w:rPr>
      </w:pPr>
      <w:r w:rsidRPr="00FE209E">
        <w:rPr>
          <w:rFonts w:asciiTheme="minorHAnsi" w:hAnsiTheme="minorHAnsi" w:cstheme="minorHAnsi"/>
          <w:b/>
          <w:bCs/>
          <w:lang w:val="en-GB"/>
        </w:rPr>
        <w:t xml:space="preserve">Firefighting firm admits to cartel conduct and pays </w:t>
      </w:r>
      <w:r w:rsidRPr="00FE209E">
        <w:rPr>
          <w:rFonts w:asciiTheme="minorHAnsi" w:hAnsiTheme="minorHAnsi" w:cstheme="minorHAnsi"/>
          <w:b/>
        </w:rPr>
        <w:t xml:space="preserve">R327000 settlement </w:t>
      </w:r>
    </w:p>
    <w:p w14:paraId="3F9286C3" w14:textId="77777777" w:rsidR="00FE209E" w:rsidRPr="00FE209E" w:rsidRDefault="00FE209E" w:rsidP="00FE209E">
      <w:pPr>
        <w:jc w:val="both"/>
        <w:rPr>
          <w:rFonts w:asciiTheme="minorHAnsi" w:hAnsiTheme="minorHAnsi" w:cstheme="minorHAnsi"/>
        </w:rPr>
      </w:pPr>
      <w:r w:rsidRPr="00FE209E">
        <w:rPr>
          <w:rFonts w:asciiTheme="minorHAnsi" w:hAnsiTheme="minorHAnsi" w:cstheme="minorHAnsi"/>
          <w:lang w:val="en-GB"/>
        </w:rPr>
        <w:t xml:space="preserve">The Tribunal has confirmed a settlement agreement in which </w:t>
      </w:r>
      <w:proofErr w:type="spellStart"/>
      <w:r w:rsidRPr="00FE209E">
        <w:rPr>
          <w:rFonts w:asciiTheme="minorHAnsi" w:hAnsiTheme="minorHAnsi" w:cstheme="minorHAnsi"/>
          <w:lang w:val="en-GB"/>
        </w:rPr>
        <w:t>Afrion</w:t>
      </w:r>
      <w:proofErr w:type="spellEnd"/>
      <w:r w:rsidRPr="00FE209E">
        <w:rPr>
          <w:rFonts w:asciiTheme="minorHAnsi" w:hAnsiTheme="minorHAnsi" w:cstheme="minorHAnsi"/>
          <w:lang w:val="en-GB"/>
        </w:rPr>
        <w:t xml:space="preserve"> Property Services CC (</w:t>
      </w:r>
      <w:proofErr w:type="spellStart"/>
      <w:r w:rsidRPr="00FE209E">
        <w:rPr>
          <w:rFonts w:asciiTheme="minorHAnsi" w:hAnsiTheme="minorHAnsi" w:cstheme="minorHAnsi"/>
          <w:lang w:val="en-GB"/>
        </w:rPr>
        <w:t>Afrion</w:t>
      </w:r>
      <w:proofErr w:type="spellEnd"/>
      <w:r w:rsidRPr="00FE209E">
        <w:rPr>
          <w:rFonts w:asciiTheme="minorHAnsi" w:hAnsiTheme="minorHAnsi" w:cstheme="minorHAnsi"/>
          <w:lang w:val="en-GB"/>
        </w:rPr>
        <w:t xml:space="preserve">), specialising in supplying, installing and maintaining fire control and protection systems in South Africa and the continent, will pay </w:t>
      </w:r>
      <w:r w:rsidRPr="00FE209E">
        <w:rPr>
          <w:rFonts w:asciiTheme="minorHAnsi" w:hAnsiTheme="minorHAnsi" w:cstheme="minorHAnsi"/>
        </w:rPr>
        <w:t xml:space="preserve">R327 201.85 for collusion. </w:t>
      </w:r>
    </w:p>
    <w:p w14:paraId="7348B716" w14:textId="77777777" w:rsidR="00FE209E" w:rsidRPr="00FE209E" w:rsidRDefault="00FE209E" w:rsidP="00FE209E">
      <w:pPr>
        <w:jc w:val="both"/>
        <w:rPr>
          <w:rFonts w:asciiTheme="minorHAnsi" w:hAnsiTheme="minorHAnsi" w:cstheme="minorHAnsi"/>
        </w:rPr>
      </w:pPr>
    </w:p>
    <w:p w14:paraId="47A4B570" w14:textId="77777777" w:rsidR="00FE209E" w:rsidRPr="00FE209E" w:rsidRDefault="00FE209E" w:rsidP="00FE209E">
      <w:pPr>
        <w:jc w:val="both"/>
        <w:rPr>
          <w:rFonts w:asciiTheme="minorHAnsi" w:eastAsia="Calibri" w:hAnsiTheme="minorHAnsi" w:cstheme="minorHAnsi"/>
          <w:lang w:val="en-ZA"/>
        </w:rPr>
      </w:pPr>
      <w:r w:rsidRPr="00FE209E">
        <w:rPr>
          <w:rFonts w:asciiTheme="minorHAnsi" w:hAnsiTheme="minorHAnsi" w:cstheme="minorHAnsi"/>
        </w:rPr>
        <w:t xml:space="preserve">On 13 March 2015, the Commission initiated an investigation against </w:t>
      </w:r>
      <w:proofErr w:type="gramStart"/>
      <w:r w:rsidRPr="00FE209E">
        <w:rPr>
          <w:rFonts w:asciiTheme="minorHAnsi" w:hAnsiTheme="minorHAnsi" w:cstheme="minorHAnsi"/>
        </w:rPr>
        <w:t>a number of</w:t>
      </w:r>
      <w:proofErr w:type="gramEnd"/>
      <w:r w:rsidRPr="00FE209E">
        <w:rPr>
          <w:rFonts w:asciiTheme="minorHAnsi" w:hAnsiTheme="minorHAnsi" w:cstheme="minorHAnsi"/>
        </w:rPr>
        <w:t xml:space="preserve"> firms, including </w:t>
      </w:r>
      <w:proofErr w:type="spellStart"/>
      <w:r w:rsidRPr="00FE209E">
        <w:rPr>
          <w:rFonts w:asciiTheme="minorHAnsi" w:hAnsiTheme="minorHAnsi" w:cstheme="minorHAnsi"/>
        </w:rPr>
        <w:t>Afrion</w:t>
      </w:r>
      <w:proofErr w:type="spellEnd"/>
      <w:r w:rsidR="00C15724">
        <w:rPr>
          <w:rFonts w:asciiTheme="minorHAnsi" w:hAnsiTheme="minorHAnsi" w:cstheme="minorHAnsi"/>
        </w:rPr>
        <w:t>,</w:t>
      </w:r>
      <w:r w:rsidRPr="00FE209E">
        <w:rPr>
          <w:rFonts w:asciiTheme="minorHAnsi" w:hAnsiTheme="minorHAnsi" w:cstheme="minorHAnsi"/>
        </w:rPr>
        <w:t xml:space="preserve"> for fixing prices, dividing markets and tendering collusively in the relevant market. </w:t>
      </w:r>
      <w:r w:rsidR="00C15724">
        <w:rPr>
          <w:rFonts w:asciiTheme="minorHAnsi" w:hAnsiTheme="minorHAnsi" w:cstheme="minorHAnsi"/>
        </w:rPr>
        <w:t xml:space="preserve">The Commission amended the complaint to include more firms on </w:t>
      </w:r>
      <w:r w:rsidRPr="00FE209E">
        <w:rPr>
          <w:rFonts w:asciiTheme="minorHAnsi" w:hAnsiTheme="minorHAnsi" w:cstheme="minorHAnsi"/>
        </w:rPr>
        <w:t>26 Ju</w:t>
      </w:r>
      <w:r w:rsidR="00C15724">
        <w:rPr>
          <w:rFonts w:asciiTheme="minorHAnsi" w:hAnsiTheme="minorHAnsi" w:cstheme="minorHAnsi"/>
        </w:rPr>
        <w:t>ne 2015 and</w:t>
      </w:r>
      <w:r w:rsidRPr="00FE209E">
        <w:rPr>
          <w:rFonts w:asciiTheme="minorHAnsi" w:hAnsiTheme="minorHAnsi" w:cstheme="minorHAnsi"/>
        </w:rPr>
        <w:t xml:space="preserve"> 8 March </w:t>
      </w:r>
      <w:r w:rsidR="00C15724">
        <w:rPr>
          <w:rFonts w:asciiTheme="minorHAnsi" w:hAnsiTheme="minorHAnsi" w:cstheme="minorHAnsi"/>
        </w:rPr>
        <w:t>2017.</w:t>
      </w:r>
    </w:p>
    <w:p w14:paraId="14D159A4" w14:textId="77777777" w:rsidR="00FE209E" w:rsidRPr="00FE209E" w:rsidRDefault="00FE209E" w:rsidP="00FE209E">
      <w:pPr>
        <w:spacing w:line="276" w:lineRule="auto"/>
        <w:jc w:val="both"/>
        <w:rPr>
          <w:rFonts w:asciiTheme="minorHAnsi" w:hAnsiTheme="minorHAnsi" w:cstheme="minorHAnsi"/>
        </w:rPr>
      </w:pPr>
    </w:p>
    <w:p w14:paraId="3E6894C9" w14:textId="77777777" w:rsidR="00FE209E" w:rsidRPr="00FE209E" w:rsidRDefault="00FE209E" w:rsidP="00FE209E">
      <w:pPr>
        <w:spacing w:line="276" w:lineRule="auto"/>
        <w:jc w:val="both"/>
        <w:rPr>
          <w:rFonts w:asciiTheme="minorHAnsi" w:hAnsiTheme="minorHAnsi" w:cstheme="minorHAnsi"/>
        </w:rPr>
      </w:pPr>
      <w:r w:rsidRPr="00FE209E">
        <w:rPr>
          <w:rFonts w:asciiTheme="minorHAnsi" w:hAnsiTheme="minorHAnsi" w:cstheme="minorHAnsi"/>
        </w:rPr>
        <w:t xml:space="preserve">During or about the period of 2007 and 2012, </w:t>
      </w:r>
      <w:proofErr w:type="spellStart"/>
      <w:r w:rsidRPr="00FE209E">
        <w:rPr>
          <w:rFonts w:asciiTheme="minorHAnsi" w:hAnsiTheme="minorHAnsi" w:cstheme="minorHAnsi"/>
        </w:rPr>
        <w:t>Afrion</w:t>
      </w:r>
      <w:proofErr w:type="spellEnd"/>
      <w:r w:rsidRPr="00FE209E">
        <w:rPr>
          <w:rFonts w:asciiTheme="minorHAnsi" w:hAnsiTheme="minorHAnsi" w:cstheme="minorHAnsi"/>
        </w:rPr>
        <w:t xml:space="preserve"> together with Independent Fire Protection Services entered into agreements to fix prices, divide markets and tendered collusively in the relevant market. The agreements to fix prices, divide markets and tender collusively were through bilateral and multilateral agreements by providing each other with cover prices. Independent Fire Protection Services has since ceased operating. </w:t>
      </w:r>
    </w:p>
    <w:p w14:paraId="4D20C34D" w14:textId="77777777" w:rsidR="00FE209E" w:rsidRPr="00FE209E" w:rsidRDefault="00FE209E" w:rsidP="00FE209E">
      <w:pPr>
        <w:spacing w:line="276" w:lineRule="auto"/>
        <w:jc w:val="both"/>
        <w:rPr>
          <w:rFonts w:asciiTheme="minorHAnsi" w:hAnsiTheme="minorHAnsi" w:cstheme="minorHAnsi"/>
        </w:rPr>
      </w:pPr>
    </w:p>
    <w:p w14:paraId="7CF14A78" w14:textId="77777777" w:rsidR="00FE209E" w:rsidRPr="00FE209E" w:rsidRDefault="00FE209E" w:rsidP="00FE209E">
      <w:pPr>
        <w:jc w:val="both"/>
        <w:rPr>
          <w:rFonts w:asciiTheme="minorHAnsi" w:hAnsiTheme="minorHAnsi" w:cstheme="minorHAnsi"/>
        </w:rPr>
      </w:pPr>
      <w:proofErr w:type="spellStart"/>
      <w:r w:rsidRPr="00FE209E">
        <w:rPr>
          <w:rFonts w:asciiTheme="minorHAnsi" w:hAnsiTheme="minorHAnsi" w:cstheme="minorHAnsi"/>
        </w:rPr>
        <w:t>Afrion</w:t>
      </w:r>
      <w:proofErr w:type="spellEnd"/>
      <w:r w:rsidRPr="00FE209E">
        <w:rPr>
          <w:rFonts w:asciiTheme="minorHAnsi" w:hAnsiTheme="minorHAnsi" w:cstheme="minorHAnsi"/>
        </w:rPr>
        <w:t xml:space="preserve"> agrees to pay a cumulative administrative penalty, circulate a statement </w:t>
      </w:r>
      <w:proofErr w:type="spellStart"/>
      <w:r w:rsidRPr="00FE209E">
        <w:rPr>
          <w:rFonts w:asciiTheme="minorHAnsi" w:hAnsiTheme="minorHAnsi" w:cstheme="minorHAnsi"/>
        </w:rPr>
        <w:t>summarising</w:t>
      </w:r>
      <w:proofErr w:type="spellEnd"/>
      <w:r w:rsidRPr="00FE209E">
        <w:rPr>
          <w:rFonts w:asciiTheme="minorHAnsi" w:hAnsiTheme="minorHAnsi" w:cstheme="minorHAnsi"/>
        </w:rPr>
        <w:t xml:space="preserve"> the contents of the consent agreement to its employees, managers and directors, within 14 days of the date of confirmation of the consent agreement as an order of the Tribunal. It also agrees to refrain from the conduct and to develop and implement and monitor a competition law compliance </w:t>
      </w:r>
      <w:proofErr w:type="spellStart"/>
      <w:r w:rsidRPr="00FE209E">
        <w:rPr>
          <w:rFonts w:asciiTheme="minorHAnsi" w:hAnsiTheme="minorHAnsi" w:cstheme="minorHAnsi"/>
        </w:rPr>
        <w:t>programme</w:t>
      </w:r>
      <w:proofErr w:type="spellEnd"/>
      <w:r w:rsidRPr="00FE209E">
        <w:rPr>
          <w:rFonts w:asciiTheme="minorHAnsi" w:hAnsiTheme="minorHAnsi" w:cstheme="minorHAnsi"/>
        </w:rPr>
        <w:t xml:space="preserve"> as part of its corporate governance policy.</w:t>
      </w:r>
    </w:p>
    <w:p w14:paraId="4FC2D434" w14:textId="77777777" w:rsidR="00DD6ECC" w:rsidRPr="00FE209E" w:rsidRDefault="00DD6ECC" w:rsidP="00FE209E">
      <w:pPr>
        <w:jc w:val="both"/>
        <w:rPr>
          <w:rFonts w:asciiTheme="minorHAnsi" w:hAnsiTheme="minorHAnsi" w:cstheme="minorHAnsi"/>
          <w:lang w:val="en-ZA" w:eastAsia="en-ZA"/>
        </w:rPr>
      </w:pPr>
    </w:p>
    <w:p w14:paraId="0053BD6A" w14:textId="77777777" w:rsidR="00D70B9A" w:rsidRPr="00FE209E" w:rsidRDefault="00D70B9A" w:rsidP="00FE209E">
      <w:pPr>
        <w:ind w:right="454"/>
        <w:jc w:val="both"/>
        <w:rPr>
          <w:rFonts w:asciiTheme="minorHAnsi" w:hAnsiTheme="minorHAnsi" w:cstheme="minorHAnsi"/>
          <w:lang w:val="en-ZA" w:eastAsia="en-ZA"/>
        </w:rPr>
      </w:pPr>
      <w:r w:rsidRPr="00FE209E">
        <w:rPr>
          <w:rFonts w:asciiTheme="minorHAnsi" w:hAnsiTheme="minorHAnsi" w:cstheme="minorHAnsi"/>
          <w:color w:val="000000"/>
          <w:lang w:val="en-ZA" w:eastAsia="en-ZA"/>
        </w:rPr>
        <w:t xml:space="preserve">Issued by: </w:t>
      </w:r>
    </w:p>
    <w:p w14:paraId="27963BEA" w14:textId="77777777" w:rsidR="00D70B9A" w:rsidRPr="00FE209E" w:rsidRDefault="00D70B9A" w:rsidP="00FE209E">
      <w:pPr>
        <w:ind w:right="454"/>
        <w:jc w:val="both"/>
        <w:rPr>
          <w:rFonts w:asciiTheme="minorHAnsi" w:hAnsiTheme="minorHAnsi" w:cstheme="minorHAnsi"/>
          <w:color w:val="000000"/>
          <w:lang w:val="en-ZA" w:eastAsia="en-ZA"/>
        </w:rPr>
      </w:pPr>
      <w:r w:rsidRPr="00FE209E">
        <w:rPr>
          <w:rFonts w:asciiTheme="minorHAnsi" w:hAnsiTheme="minorHAnsi" w:cstheme="minorHAnsi"/>
          <w:color w:val="000000"/>
          <w:lang w:val="en-ZA" w:eastAsia="en-ZA"/>
        </w:rPr>
        <w:t xml:space="preserve">Chantelle Benjamin </w:t>
      </w:r>
    </w:p>
    <w:p w14:paraId="49854086" w14:textId="77777777" w:rsidR="00D70B9A" w:rsidRPr="00FE209E" w:rsidRDefault="00D70B9A" w:rsidP="00FE209E">
      <w:pPr>
        <w:ind w:right="454"/>
        <w:jc w:val="both"/>
        <w:rPr>
          <w:rFonts w:asciiTheme="minorHAnsi" w:hAnsiTheme="minorHAnsi" w:cstheme="minorHAnsi"/>
          <w:color w:val="000000"/>
          <w:lang w:val="en-ZA" w:eastAsia="en-ZA"/>
        </w:rPr>
      </w:pPr>
      <w:r w:rsidRPr="00FE209E">
        <w:rPr>
          <w:rFonts w:asciiTheme="minorHAnsi" w:hAnsiTheme="minorHAnsi" w:cstheme="minorHAnsi"/>
          <w:color w:val="000000"/>
          <w:lang w:val="en-ZA" w:eastAsia="en-ZA"/>
        </w:rPr>
        <w:t>Communications: Competition Tribunal   </w:t>
      </w:r>
    </w:p>
    <w:p w14:paraId="1809259B" w14:textId="77777777" w:rsidR="00D70B9A" w:rsidRPr="00FE209E" w:rsidRDefault="00D70B9A" w:rsidP="00FE209E">
      <w:pPr>
        <w:ind w:right="454"/>
        <w:jc w:val="both"/>
        <w:rPr>
          <w:rFonts w:asciiTheme="minorHAnsi" w:hAnsiTheme="minorHAnsi" w:cstheme="minorHAnsi"/>
          <w:color w:val="000000"/>
          <w:lang w:val="en-ZA" w:eastAsia="en-ZA"/>
        </w:rPr>
      </w:pPr>
      <w:r w:rsidRPr="00FE209E">
        <w:rPr>
          <w:rFonts w:asciiTheme="minorHAnsi" w:hAnsiTheme="minorHAnsi" w:cstheme="minorHAnsi"/>
          <w:color w:val="000000"/>
          <w:lang w:val="en-ZA" w:eastAsia="en-ZA"/>
        </w:rPr>
        <w:t xml:space="preserve">Tel (012)394 1383                                      </w:t>
      </w:r>
    </w:p>
    <w:p w14:paraId="31F46561" w14:textId="77777777" w:rsidR="00D70B9A" w:rsidRPr="00FE209E" w:rsidRDefault="00D70B9A" w:rsidP="00FE209E">
      <w:pPr>
        <w:ind w:right="454"/>
        <w:jc w:val="both"/>
        <w:rPr>
          <w:rFonts w:asciiTheme="minorHAnsi" w:hAnsiTheme="minorHAnsi" w:cstheme="minorHAnsi"/>
          <w:color w:val="000000"/>
          <w:lang w:val="en-ZA" w:eastAsia="en-ZA"/>
        </w:rPr>
      </w:pPr>
      <w:r w:rsidRPr="00FE209E">
        <w:rPr>
          <w:rFonts w:asciiTheme="minorHAnsi" w:hAnsiTheme="minorHAnsi" w:cstheme="minorHAnsi"/>
          <w:color w:val="000000"/>
          <w:lang w:val="en-ZA" w:eastAsia="en-ZA"/>
        </w:rPr>
        <w:t>Cell: +27 (0) 73 007 5603  </w:t>
      </w:r>
    </w:p>
    <w:p w14:paraId="07E20B50" w14:textId="77777777" w:rsidR="00D70B9A" w:rsidRPr="00FE209E" w:rsidRDefault="00D70B9A" w:rsidP="00FE209E">
      <w:pPr>
        <w:ind w:right="454"/>
        <w:jc w:val="both"/>
        <w:rPr>
          <w:rFonts w:asciiTheme="minorHAnsi" w:hAnsiTheme="minorHAnsi" w:cstheme="minorHAnsi"/>
          <w:lang w:val="en-ZA" w:eastAsia="en-ZA"/>
        </w:rPr>
      </w:pPr>
      <w:r w:rsidRPr="00FE209E">
        <w:rPr>
          <w:rFonts w:asciiTheme="minorHAnsi" w:hAnsiTheme="minorHAnsi" w:cstheme="minorHAnsi"/>
          <w:color w:val="000000"/>
          <w:lang w:val="en-ZA" w:eastAsia="en-ZA"/>
        </w:rPr>
        <w:t xml:space="preserve">Twitter: @comptrib                                        </w:t>
      </w:r>
    </w:p>
    <w:p w14:paraId="05D8C413" w14:textId="77777777" w:rsidR="00D70B9A" w:rsidRPr="00FE209E" w:rsidRDefault="00D70B9A" w:rsidP="00FE209E">
      <w:pPr>
        <w:ind w:right="454"/>
        <w:jc w:val="both"/>
        <w:rPr>
          <w:rFonts w:asciiTheme="minorHAnsi" w:hAnsiTheme="minorHAnsi" w:cstheme="minorHAnsi"/>
          <w:lang w:val="en-ZA"/>
        </w:rPr>
      </w:pPr>
      <w:r w:rsidRPr="00FE209E">
        <w:rPr>
          <w:rFonts w:asciiTheme="minorHAnsi" w:hAnsiTheme="minorHAnsi" w:cstheme="minorHAnsi"/>
          <w:color w:val="000000"/>
          <w:lang w:val="en-ZA" w:eastAsia="en-ZA"/>
        </w:rPr>
        <w:t xml:space="preserve">E-Mail: </w:t>
      </w:r>
      <w:hyperlink r:id="rId8" w:history="1">
        <w:r w:rsidRPr="00FE209E">
          <w:rPr>
            <w:rFonts w:asciiTheme="minorHAnsi" w:hAnsiTheme="minorHAnsi" w:cstheme="minorHAnsi"/>
            <w:color w:val="0000FF"/>
            <w:u w:val="single"/>
            <w:lang w:val="en-ZA" w:eastAsia="en-ZA"/>
          </w:rPr>
          <w:t>chantelleb@comptrib.co.za</w:t>
        </w:r>
      </w:hyperlink>
      <w:r w:rsidRPr="00FE209E">
        <w:rPr>
          <w:rFonts w:asciiTheme="minorHAnsi" w:hAnsiTheme="minorHAnsi" w:cstheme="minorHAnsi"/>
          <w:lang w:val="en-ZA"/>
        </w:rPr>
        <w:t xml:space="preserve"> </w:t>
      </w:r>
    </w:p>
    <w:p w14:paraId="67E6AF5E" w14:textId="77777777" w:rsidR="00D70B9A" w:rsidRPr="00FE209E" w:rsidRDefault="00D70B9A" w:rsidP="00FE209E">
      <w:pPr>
        <w:ind w:left="454" w:right="454"/>
        <w:jc w:val="both"/>
        <w:rPr>
          <w:rFonts w:asciiTheme="minorHAnsi" w:hAnsiTheme="minorHAnsi" w:cstheme="minorHAnsi"/>
          <w:color w:val="000000"/>
          <w:lang w:val="en-ZA"/>
        </w:rPr>
      </w:pPr>
    </w:p>
    <w:p w14:paraId="17E29845" w14:textId="77777777" w:rsidR="00D70B9A" w:rsidRPr="00FE209E" w:rsidRDefault="00D70B9A" w:rsidP="00FE209E">
      <w:pPr>
        <w:ind w:left="454" w:right="454"/>
        <w:jc w:val="both"/>
        <w:rPr>
          <w:rFonts w:asciiTheme="minorHAnsi" w:hAnsiTheme="minorHAnsi" w:cstheme="minorHAnsi"/>
          <w:color w:val="000000"/>
          <w:lang w:val="en-ZA"/>
        </w:rPr>
      </w:pPr>
    </w:p>
    <w:p w14:paraId="6AF850DA" w14:textId="77777777" w:rsidR="00D70B9A" w:rsidRPr="00FE209E" w:rsidRDefault="00D70B9A" w:rsidP="00FE209E">
      <w:pPr>
        <w:ind w:right="454"/>
        <w:jc w:val="both"/>
        <w:rPr>
          <w:rFonts w:asciiTheme="minorHAnsi" w:hAnsiTheme="minorHAnsi" w:cstheme="minorHAnsi"/>
          <w:lang w:val="en-ZA" w:eastAsia="en-ZA"/>
        </w:rPr>
      </w:pPr>
      <w:r w:rsidRPr="00FE209E">
        <w:rPr>
          <w:rFonts w:asciiTheme="minorHAnsi" w:hAnsiTheme="minorHAnsi" w:cstheme="minorHAnsi"/>
          <w:color w:val="000000"/>
          <w:lang w:val="en-ZA" w:eastAsia="en-ZA"/>
        </w:rPr>
        <w:t>On Behalf Of:</w:t>
      </w:r>
    </w:p>
    <w:p w14:paraId="5342A777" w14:textId="77777777" w:rsidR="00D70B9A" w:rsidRPr="00FE209E" w:rsidRDefault="00D70B9A" w:rsidP="00FE209E">
      <w:pPr>
        <w:ind w:right="454"/>
        <w:jc w:val="both"/>
        <w:rPr>
          <w:rFonts w:asciiTheme="minorHAnsi" w:hAnsiTheme="minorHAnsi" w:cstheme="minorHAnsi"/>
          <w:lang w:val="en-ZA" w:eastAsia="en-ZA"/>
        </w:rPr>
      </w:pPr>
      <w:r w:rsidRPr="00FE209E">
        <w:rPr>
          <w:rFonts w:asciiTheme="minorHAnsi" w:hAnsiTheme="minorHAnsi" w:cstheme="minorHAnsi"/>
          <w:color w:val="000000"/>
          <w:lang w:val="en-ZA" w:eastAsia="en-ZA"/>
        </w:rPr>
        <w:t>Lerato Motaung                                                   </w:t>
      </w:r>
    </w:p>
    <w:p w14:paraId="3F1F6C34" w14:textId="77777777" w:rsidR="00D70B9A" w:rsidRPr="00FE209E" w:rsidRDefault="00D70B9A" w:rsidP="00FE209E">
      <w:pPr>
        <w:ind w:right="454"/>
        <w:jc w:val="both"/>
        <w:rPr>
          <w:rFonts w:asciiTheme="minorHAnsi" w:hAnsiTheme="minorHAnsi" w:cstheme="minorHAnsi"/>
          <w:lang w:val="en-ZA" w:eastAsia="en-ZA"/>
        </w:rPr>
      </w:pPr>
      <w:r w:rsidRPr="00FE209E">
        <w:rPr>
          <w:rFonts w:asciiTheme="minorHAnsi" w:hAnsiTheme="minorHAnsi" w:cstheme="minorHAnsi"/>
          <w:color w:val="000000"/>
          <w:lang w:val="en-ZA" w:eastAsia="en-ZA"/>
        </w:rPr>
        <w:t xml:space="preserve">Registrar: Competition Tribunal                                         </w:t>
      </w:r>
    </w:p>
    <w:p w14:paraId="3386D6EA" w14:textId="77777777" w:rsidR="00D70B9A" w:rsidRPr="00FE209E" w:rsidRDefault="00D70B9A" w:rsidP="00FE209E">
      <w:pPr>
        <w:ind w:right="454"/>
        <w:jc w:val="both"/>
        <w:rPr>
          <w:rFonts w:asciiTheme="minorHAnsi" w:hAnsiTheme="minorHAnsi" w:cstheme="minorHAnsi"/>
          <w:lang w:val="en-ZA" w:eastAsia="en-ZA"/>
        </w:rPr>
      </w:pPr>
      <w:r w:rsidRPr="00FE209E">
        <w:rPr>
          <w:rFonts w:asciiTheme="minorHAnsi" w:hAnsiTheme="minorHAnsi" w:cstheme="minorHAnsi"/>
          <w:color w:val="000000"/>
          <w:lang w:val="en-ZA" w:eastAsia="en-ZA"/>
        </w:rPr>
        <w:t xml:space="preserve">Tel: (012) 394 3355                                              </w:t>
      </w:r>
    </w:p>
    <w:p w14:paraId="56EFA88C" w14:textId="77777777" w:rsidR="00D70B9A" w:rsidRPr="00FE209E" w:rsidRDefault="00D70B9A" w:rsidP="00FE209E">
      <w:pPr>
        <w:ind w:right="454"/>
        <w:jc w:val="both"/>
        <w:rPr>
          <w:rFonts w:asciiTheme="minorHAnsi" w:hAnsiTheme="minorHAnsi" w:cstheme="minorHAnsi"/>
          <w:lang w:val="en-ZA" w:eastAsia="en-ZA"/>
        </w:rPr>
      </w:pPr>
      <w:r w:rsidRPr="00FE209E">
        <w:rPr>
          <w:rFonts w:asciiTheme="minorHAnsi" w:hAnsiTheme="minorHAnsi" w:cstheme="minorHAnsi"/>
          <w:color w:val="000000"/>
          <w:lang w:val="en-ZA" w:eastAsia="en-ZA"/>
        </w:rPr>
        <w:t xml:space="preserve">Cell: +27 (0) 82 556 3221                                               </w:t>
      </w:r>
    </w:p>
    <w:p w14:paraId="4321DF05" w14:textId="77777777" w:rsidR="00D70B9A" w:rsidRPr="00FE209E" w:rsidRDefault="00D70B9A" w:rsidP="00FE209E">
      <w:pPr>
        <w:ind w:right="454"/>
        <w:jc w:val="both"/>
        <w:rPr>
          <w:rFonts w:asciiTheme="minorHAnsi" w:hAnsiTheme="minorHAnsi" w:cstheme="minorHAnsi"/>
          <w:lang w:val="en-ZA"/>
        </w:rPr>
      </w:pPr>
      <w:r w:rsidRPr="00FE209E">
        <w:rPr>
          <w:rFonts w:asciiTheme="minorHAnsi" w:hAnsiTheme="minorHAnsi" w:cstheme="minorHAnsi"/>
          <w:color w:val="000000"/>
          <w:lang w:val="en-ZA" w:eastAsia="en-ZA"/>
        </w:rPr>
        <w:t xml:space="preserve">E-Mail: </w:t>
      </w:r>
      <w:hyperlink r:id="rId9" w:history="1">
        <w:r w:rsidRPr="00FE209E">
          <w:rPr>
            <w:rFonts w:asciiTheme="minorHAnsi" w:hAnsiTheme="minorHAnsi" w:cstheme="minorHAnsi"/>
            <w:color w:val="0000FF"/>
            <w:u w:val="single"/>
            <w:lang w:val="en-ZA" w:eastAsia="en-ZA"/>
          </w:rPr>
          <w:t>LeratoM@comptrib.co.za</w:t>
        </w:r>
      </w:hyperlink>
    </w:p>
    <w:p w14:paraId="0575ACB2" w14:textId="77777777" w:rsidR="003E6D12" w:rsidRPr="00B34C7E" w:rsidRDefault="005457A0" w:rsidP="00FE209E"/>
    <w:sectPr w:rsidR="003E6D12" w:rsidRPr="00B34C7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3ACA2" w14:textId="77777777" w:rsidR="005457A0" w:rsidRDefault="005457A0" w:rsidP="00D50208">
      <w:r>
        <w:separator/>
      </w:r>
    </w:p>
  </w:endnote>
  <w:endnote w:type="continuationSeparator" w:id="0">
    <w:p w14:paraId="7D66EA4F" w14:textId="77777777" w:rsidR="005457A0" w:rsidRDefault="005457A0" w:rsidP="00D5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6B1F7" w14:textId="77777777" w:rsidR="005457A0" w:rsidRDefault="005457A0" w:rsidP="00D50208">
      <w:r>
        <w:separator/>
      </w:r>
    </w:p>
  </w:footnote>
  <w:footnote w:type="continuationSeparator" w:id="0">
    <w:p w14:paraId="0A7B82BD" w14:textId="77777777" w:rsidR="005457A0" w:rsidRDefault="005457A0" w:rsidP="00D50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A5A3B"/>
    <w:multiLevelType w:val="hybridMultilevel"/>
    <w:tmpl w:val="23E45120"/>
    <w:lvl w:ilvl="0" w:tplc="405C98C4">
      <w:start w:val="1"/>
      <w:numFmt w:val="decimal"/>
      <w:lvlText w:val="%1."/>
      <w:lvlJc w:val="left"/>
      <w:pPr>
        <w:ind w:left="420" w:hanging="360"/>
      </w:pPr>
      <w:rPr>
        <w:rFonts w:hint="default"/>
      </w:rPr>
    </w:lvl>
    <w:lvl w:ilvl="1" w:tplc="1C090019" w:tentative="1">
      <w:start w:val="1"/>
      <w:numFmt w:val="lowerLetter"/>
      <w:lvlText w:val="%2."/>
      <w:lvlJc w:val="left"/>
      <w:pPr>
        <w:ind w:left="1140" w:hanging="360"/>
      </w:pPr>
    </w:lvl>
    <w:lvl w:ilvl="2" w:tplc="1C09001B" w:tentative="1">
      <w:start w:val="1"/>
      <w:numFmt w:val="lowerRoman"/>
      <w:lvlText w:val="%3."/>
      <w:lvlJc w:val="right"/>
      <w:pPr>
        <w:ind w:left="1860" w:hanging="180"/>
      </w:p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abstractNum w:abstractNumId="1" w15:restartNumberingAfterBreak="0">
    <w:nsid w:val="4E9026F8"/>
    <w:multiLevelType w:val="multilevel"/>
    <w:tmpl w:val="492213FE"/>
    <w:lvl w:ilvl="0">
      <w:start w:val="1"/>
      <w:numFmt w:val="decimal"/>
      <w:lvlText w:val="%1"/>
      <w:lvlJc w:val="left"/>
      <w:pPr>
        <w:ind w:left="390" w:hanging="390"/>
      </w:pPr>
      <w:rPr>
        <w:rFonts w:ascii="Arial" w:hAnsi="Arial" w:cs="Times New Roman" w:hint="default"/>
        <w:b/>
        <w:sz w:val="22"/>
      </w:rPr>
    </w:lvl>
    <w:lvl w:ilvl="1">
      <w:start w:val="1"/>
      <w:numFmt w:val="decimal"/>
      <w:lvlText w:val="%1.%2"/>
      <w:lvlJc w:val="left"/>
      <w:pPr>
        <w:ind w:left="390" w:hanging="390"/>
      </w:pPr>
      <w:rPr>
        <w:rFonts w:ascii="Arial" w:hAnsi="Arial" w:cs="Times New Roman" w:hint="default"/>
        <w:b/>
        <w:sz w:val="22"/>
      </w:rPr>
    </w:lvl>
    <w:lvl w:ilvl="2">
      <w:start w:val="1"/>
      <w:numFmt w:val="decimal"/>
      <w:lvlText w:val="%1.%2.%3"/>
      <w:lvlJc w:val="left"/>
      <w:pPr>
        <w:ind w:left="720" w:hanging="720"/>
      </w:pPr>
      <w:rPr>
        <w:rFonts w:ascii="Arial" w:hAnsi="Arial" w:cs="Times New Roman" w:hint="default"/>
        <w:b/>
        <w:sz w:val="22"/>
      </w:rPr>
    </w:lvl>
    <w:lvl w:ilvl="3">
      <w:start w:val="1"/>
      <w:numFmt w:val="decimal"/>
      <w:lvlText w:val="%1.%2.%3.%4"/>
      <w:lvlJc w:val="left"/>
      <w:pPr>
        <w:ind w:left="720" w:hanging="720"/>
      </w:pPr>
      <w:rPr>
        <w:rFonts w:ascii="Arial" w:hAnsi="Arial" w:cs="Times New Roman" w:hint="default"/>
        <w:b/>
        <w:sz w:val="22"/>
      </w:rPr>
    </w:lvl>
    <w:lvl w:ilvl="4">
      <w:start w:val="1"/>
      <w:numFmt w:val="decimal"/>
      <w:lvlText w:val="%1.%2.%3.%4.%5"/>
      <w:lvlJc w:val="left"/>
      <w:pPr>
        <w:ind w:left="1080" w:hanging="1080"/>
      </w:pPr>
      <w:rPr>
        <w:rFonts w:ascii="Arial" w:hAnsi="Arial" w:cs="Times New Roman" w:hint="default"/>
        <w:b/>
        <w:sz w:val="22"/>
      </w:rPr>
    </w:lvl>
    <w:lvl w:ilvl="5">
      <w:start w:val="1"/>
      <w:numFmt w:val="decimal"/>
      <w:lvlText w:val="%1.%2.%3.%4.%5.%6"/>
      <w:lvlJc w:val="left"/>
      <w:pPr>
        <w:ind w:left="1080" w:hanging="1080"/>
      </w:pPr>
      <w:rPr>
        <w:rFonts w:ascii="Arial" w:hAnsi="Arial" w:cs="Times New Roman" w:hint="default"/>
        <w:b/>
        <w:sz w:val="22"/>
      </w:rPr>
    </w:lvl>
    <w:lvl w:ilvl="6">
      <w:start w:val="1"/>
      <w:numFmt w:val="decimal"/>
      <w:lvlText w:val="%1.%2.%3.%4.%5.%6.%7"/>
      <w:lvlJc w:val="left"/>
      <w:pPr>
        <w:ind w:left="1440" w:hanging="1440"/>
      </w:pPr>
      <w:rPr>
        <w:rFonts w:ascii="Arial" w:hAnsi="Arial" w:cs="Times New Roman" w:hint="default"/>
        <w:b/>
        <w:sz w:val="22"/>
      </w:rPr>
    </w:lvl>
    <w:lvl w:ilvl="7">
      <w:start w:val="1"/>
      <w:numFmt w:val="decimal"/>
      <w:lvlText w:val="%1.%2.%3.%4.%5.%6.%7.%8"/>
      <w:lvlJc w:val="left"/>
      <w:pPr>
        <w:ind w:left="1440" w:hanging="1440"/>
      </w:pPr>
      <w:rPr>
        <w:rFonts w:ascii="Arial" w:hAnsi="Arial" w:cs="Times New Roman" w:hint="default"/>
        <w:b/>
        <w:sz w:val="22"/>
      </w:rPr>
    </w:lvl>
    <w:lvl w:ilvl="8">
      <w:start w:val="1"/>
      <w:numFmt w:val="decimal"/>
      <w:lvlText w:val="%1.%2.%3.%4.%5.%6.%7.%8.%9"/>
      <w:lvlJc w:val="left"/>
      <w:pPr>
        <w:ind w:left="1800" w:hanging="1800"/>
      </w:pPr>
      <w:rPr>
        <w:rFonts w:ascii="Arial" w:hAnsi="Arial" w:cs="Times New Roman" w:hint="default"/>
        <w:b/>
        <w:sz w:val="22"/>
      </w:rPr>
    </w:lvl>
  </w:abstractNum>
  <w:abstractNum w:abstractNumId="2" w15:restartNumberingAfterBreak="0">
    <w:nsid w:val="633C337D"/>
    <w:multiLevelType w:val="hybridMultilevel"/>
    <w:tmpl w:val="552837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646A75C7"/>
    <w:multiLevelType w:val="hybridMultilevel"/>
    <w:tmpl w:val="0944E278"/>
    <w:lvl w:ilvl="0" w:tplc="9BFECAE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7D21EF"/>
    <w:multiLevelType w:val="hybridMultilevel"/>
    <w:tmpl w:val="75442E2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ECC"/>
    <w:rsid w:val="00055B7B"/>
    <w:rsid w:val="002A5A09"/>
    <w:rsid w:val="002D278E"/>
    <w:rsid w:val="003211E2"/>
    <w:rsid w:val="003564E9"/>
    <w:rsid w:val="004755EC"/>
    <w:rsid w:val="004B07EB"/>
    <w:rsid w:val="005457A0"/>
    <w:rsid w:val="00AD7E21"/>
    <w:rsid w:val="00B34C7E"/>
    <w:rsid w:val="00BE6225"/>
    <w:rsid w:val="00BF36C5"/>
    <w:rsid w:val="00C15724"/>
    <w:rsid w:val="00D50208"/>
    <w:rsid w:val="00D70B9A"/>
    <w:rsid w:val="00DD6ECC"/>
    <w:rsid w:val="00FE2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64AB"/>
  <w15:chartTrackingRefBased/>
  <w15:docId w15:val="{27C2D7B0-33EF-428E-A613-BFD1E63A7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EC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6ECC"/>
    <w:rPr>
      <w:color w:val="0563C1" w:themeColor="hyperlink"/>
      <w:u w:val="single"/>
    </w:rPr>
  </w:style>
  <w:style w:type="paragraph" w:styleId="ListParagraph">
    <w:name w:val="List Paragraph"/>
    <w:basedOn w:val="Normal"/>
    <w:uiPriority w:val="34"/>
    <w:qFormat/>
    <w:rsid w:val="00D70B9A"/>
    <w:pPr>
      <w:spacing w:after="200" w:line="276" w:lineRule="auto"/>
      <w:ind w:left="720"/>
      <w:contextualSpacing/>
    </w:pPr>
    <w:rPr>
      <w:rFonts w:asciiTheme="minorHAnsi" w:hAnsiTheme="minorHAnsi" w:cstheme="minorBidi"/>
      <w:lang w:val="en-ZA"/>
    </w:rPr>
  </w:style>
  <w:style w:type="table" w:styleId="TableGrid">
    <w:name w:val="Table Grid"/>
    <w:basedOn w:val="TableNormal"/>
    <w:uiPriority w:val="59"/>
    <w:rsid w:val="00D70B9A"/>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70B9A"/>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50208"/>
    <w:rPr>
      <w:rFonts w:ascii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D50208"/>
    <w:rPr>
      <w:sz w:val="20"/>
      <w:szCs w:val="20"/>
      <w:lang w:val="en-GB"/>
    </w:rPr>
  </w:style>
  <w:style w:type="character" w:styleId="FootnoteReference">
    <w:name w:val="footnote reference"/>
    <w:basedOn w:val="DefaultParagraphFont"/>
    <w:uiPriority w:val="99"/>
    <w:semiHidden/>
    <w:unhideWhenUsed/>
    <w:rsid w:val="00D50208"/>
    <w:rPr>
      <w:vertAlign w:val="superscript"/>
    </w:rPr>
  </w:style>
  <w:style w:type="paragraph" w:styleId="BalloonText">
    <w:name w:val="Balloon Text"/>
    <w:basedOn w:val="Normal"/>
    <w:link w:val="BalloonTextChar"/>
    <w:uiPriority w:val="99"/>
    <w:semiHidden/>
    <w:unhideWhenUsed/>
    <w:rsid w:val="002D27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7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787536">
      <w:bodyDiv w:val="1"/>
      <w:marLeft w:val="0"/>
      <w:marRight w:val="0"/>
      <w:marTop w:val="0"/>
      <w:marBottom w:val="0"/>
      <w:divBdr>
        <w:top w:val="none" w:sz="0" w:space="0" w:color="auto"/>
        <w:left w:val="none" w:sz="0" w:space="0" w:color="auto"/>
        <w:bottom w:val="none" w:sz="0" w:space="0" w:color="auto"/>
        <w:right w:val="none" w:sz="0" w:space="0" w:color="auto"/>
      </w:divBdr>
    </w:div>
    <w:div w:id="1374841528">
      <w:bodyDiv w:val="1"/>
      <w:marLeft w:val="0"/>
      <w:marRight w:val="0"/>
      <w:marTop w:val="0"/>
      <w:marBottom w:val="0"/>
      <w:divBdr>
        <w:top w:val="none" w:sz="0" w:space="0" w:color="auto"/>
        <w:left w:val="none" w:sz="0" w:space="0" w:color="auto"/>
        <w:bottom w:val="none" w:sz="0" w:space="0" w:color="auto"/>
        <w:right w:val="none" w:sz="0" w:space="0" w:color="auto"/>
      </w:divBdr>
    </w:div>
    <w:div w:id="157007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istairV\AppData\Local\Microsoft\Windows\Temporary%20Internet%20Files\Content.Outlook\HMBET88G\chantelleb@comptrib.co.za"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ratoM@comptrib.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Janeen De Klerk</cp:lastModifiedBy>
  <cp:revision>2</cp:revision>
  <dcterms:created xsi:type="dcterms:W3CDTF">2019-04-24T17:41:00Z</dcterms:created>
  <dcterms:modified xsi:type="dcterms:W3CDTF">2019-04-24T17:41:00Z</dcterms:modified>
</cp:coreProperties>
</file>