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9B" w:rsidRPr="00DC5603" w:rsidRDefault="00520368" w:rsidP="00F31FEA">
      <w:pPr>
        <w:autoSpaceDE w:val="0"/>
        <w:autoSpaceDN w:val="0"/>
        <w:spacing w:after="160" w:line="276" w:lineRule="auto"/>
        <w:ind w:left="510" w:right="510"/>
        <w:contextualSpacing/>
        <w:jc w:val="center"/>
        <w:rPr>
          <w:rFonts w:ascii="Arial" w:hAnsi="Arial" w:cs="Arial"/>
          <w:b/>
          <w:bCs/>
        </w:rPr>
      </w:pPr>
      <w:bookmarkStart w:id="0" w:name="_GoBack"/>
      <w:bookmarkEnd w:id="0"/>
      <w:r w:rsidRPr="00B0166C">
        <w:rPr>
          <w:rFonts w:ascii="Arial" w:hAnsi="Arial" w:cs="Arial"/>
          <w:b/>
          <w:noProof/>
          <w:lang w:eastAsia="en-ZA"/>
        </w:rPr>
        <w:drawing>
          <wp:inline distT="0" distB="0" distL="0" distR="0" wp14:anchorId="7745C16F" wp14:editId="4A1AA41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07289B" w:rsidRPr="00DC5603" w:rsidRDefault="00A775D8" w:rsidP="00F31FEA">
      <w:pPr>
        <w:ind w:left="510" w:right="510"/>
        <w:jc w:val="center"/>
        <w:rPr>
          <w:rFonts w:ascii="Arial" w:hAnsi="Arial" w:cs="Arial"/>
          <w:b/>
        </w:rPr>
      </w:pPr>
      <w:r>
        <w:rPr>
          <w:rFonts w:ascii="Arial" w:hAnsi="Arial" w:cs="Arial"/>
          <w:b/>
        </w:rPr>
        <w:t xml:space="preserve">OUTCOME OF </w:t>
      </w:r>
      <w:r w:rsidR="0007289B" w:rsidRPr="00DC5603">
        <w:rPr>
          <w:rFonts w:ascii="Arial" w:hAnsi="Arial" w:cs="Arial"/>
          <w:b/>
        </w:rPr>
        <w:t>CASE</w:t>
      </w:r>
      <w:r w:rsidR="003C6622">
        <w:rPr>
          <w:rFonts w:ascii="Arial" w:hAnsi="Arial" w:cs="Arial"/>
          <w:b/>
        </w:rPr>
        <w:t>S</w:t>
      </w:r>
      <w:r>
        <w:rPr>
          <w:rFonts w:ascii="Arial" w:hAnsi="Arial" w:cs="Arial"/>
          <w:b/>
        </w:rPr>
        <w:t xml:space="preserve"> FOR TRIBUNAL ROLL</w:t>
      </w:r>
      <w:r w:rsidR="0007289B" w:rsidRPr="00DC5603">
        <w:rPr>
          <w:rFonts w:ascii="Arial" w:hAnsi="Arial" w:cs="Arial"/>
          <w:b/>
        </w:rPr>
        <w:t xml:space="preserve"> WEDNESDAY, 14 JUNE </w:t>
      </w:r>
    </w:p>
    <w:p w:rsidR="0007289B" w:rsidRPr="00DC5603" w:rsidRDefault="0007289B" w:rsidP="00F31FEA">
      <w:pPr>
        <w:ind w:left="510" w:right="510"/>
        <w:jc w:val="both"/>
        <w:rPr>
          <w:rFonts w:ascii="Arial" w:hAnsi="Arial" w:cs="Arial"/>
        </w:rPr>
      </w:pPr>
    </w:p>
    <w:p w:rsidR="0007289B" w:rsidRPr="00DC5603" w:rsidRDefault="0007289B" w:rsidP="00F31FEA">
      <w:pPr>
        <w:ind w:left="510" w:right="510"/>
        <w:jc w:val="both"/>
        <w:rPr>
          <w:rFonts w:ascii="Arial" w:hAnsi="Arial" w:cs="Arial"/>
          <w:b/>
        </w:rPr>
      </w:pPr>
    </w:p>
    <w:p w:rsidR="0007289B" w:rsidRPr="00DC5603" w:rsidRDefault="0007289B" w:rsidP="00F31FEA">
      <w:pPr>
        <w:ind w:left="510" w:right="510"/>
        <w:jc w:val="both"/>
        <w:rPr>
          <w:rFonts w:ascii="Arial" w:hAnsi="Arial" w:cs="Arial"/>
        </w:rPr>
      </w:pPr>
    </w:p>
    <w:tbl>
      <w:tblPr>
        <w:tblStyle w:val="TableGrid"/>
        <w:tblW w:w="8221"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984"/>
        <w:gridCol w:w="1985"/>
        <w:gridCol w:w="2409"/>
        <w:gridCol w:w="1843"/>
      </w:tblGrid>
      <w:tr w:rsidR="00AB3E6A" w:rsidRPr="00DC5603" w:rsidTr="00AB3E6A">
        <w:trPr>
          <w:trHeight w:val="972"/>
        </w:trPr>
        <w:tc>
          <w:tcPr>
            <w:tcW w:w="1984" w:type="dxa"/>
            <w:shd w:val="clear" w:color="auto" w:fill="996633"/>
          </w:tcPr>
          <w:p w:rsidR="00A775D8" w:rsidRPr="00DC5603" w:rsidRDefault="00A775D8" w:rsidP="00F31FEA">
            <w:pPr>
              <w:ind w:left="510" w:right="510"/>
              <w:rPr>
                <w:rFonts w:ascii="Arial" w:hAnsi="Arial" w:cs="Arial"/>
                <w:color w:val="FFFFFF" w:themeColor="background1"/>
              </w:rPr>
            </w:pPr>
            <w:r w:rsidRPr="00DC5603">
              <w:rPr>
                <w:rFonts w:ascii="Arial" w:hAnsi="Arial" w:cs="Arial"/>
                <w:color w:val="FFFFFF" w:themeColor="background1"/>
              </w:rPr>
              <w:t>Type of matter</w:t>
            </w:r>
          </w:p>
        </w:tc>
        <w:tc>
          <w:tcPr>
            <w:tcW w:w="1985"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Parties involved</w:t>
            </w:r>
          </w:p>
        </w:tc>
        <w:tc>
          <w:tcPr>
            <w:tcW w:w="2409"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Competition Commission’s recommendation to Tribunal</w:t>
            </w:r>
          </w:p>
        </w:tc>
        <w:tc>
          <w:tcPr>
            <w:tcW w:w="1843" w:type="dxa"/>
            <w:shd w:val="clear" w:color="auto" w:fill="996633"/>
          </w:tcPr>
          <w:p w:rsidR="00A775D8" w:rsidRPr="00DC5603" w:rsidRDefault="00A775D8" w:rsidP="00AB3E6A">
            <w:pPr>
              <w:ind w:right="510"/>
              <w:rPr>
                <w:rFonts w:ascii="Arial" w:hAnsi="Arial" w:cs="Arial"/>
                <w:color w:val="FFFFFF" w:themeColor="background1"/>
              </w:rPr>
            </w:pPr>
            <w:r>
              <w:rPr>
                <w:rFonts w:ascii="Arial" w:hAnsi="Arial" w:cs="Arial"/>
                <w:color w:val="FFFFFF" w:themeColor="background1"/>
              </w:rPr>
              <w:t xml:space="preserve">Tribunal decision </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rPr>
            </w:pPr>
            <w:r w:rsidRPr="00DC5603">
              <w:rPr>
                <w:rFonts w:ascii="Arial" w:hAnsi="Arial" w:cs="Arial"/>
                <w:color w:val="000000"/>
              </w:rPr>
              <w:t xml:space="preserve">Novus Holdings Ltd And ITB </w:t>
            </w:r>
            <w:proofErr w:type="spellStart"/>
            <w:r w:rsidRPr="00DC5603">
              <w:rPr>
                <w:rFonts w:ascii="Arial" w:hAnsi="Arial" w:cs="Arial"/>
                <w:color w:val="000000"/>
              </w:rPr>
              <w:t>Manufacturi</w:t>
            </w:r>
            <w:proofErr w:type="spellEnd"/>
            <w:r w:rsidR="00AB3E6A">
              <w:rPr>
                <w:rFonts w:ascii="Arial" w:hAnsi="Arial" w:cs="Arial"/>
                <w:color w:val="000000"/>
              </w:rPr>
              <w:t>-</w:t>
            </w:r>
            <w:r w:rsidRPr="00DC5603">
              <w:rPr>
                <w:rFonts w:ascii="Arial" w:hAnsi="Arial" w:cs="Arial"/>
                <w:color w:val="000000"/>
              </w:rPr>
              <w:t>ng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Failure to Notify </w:t>
            </w:r>
          </w:p>
        </w:tc>
        <w:tc>
          <w:tcPr>
            <w:tcW w:w="1985" w:type="dxa"/>
          </w:tcPr>
          <w:p w:rsidR="00A775D8" w:rsidRPr="00DC5603" w:rsidRDefault="00A775D8" w:rsidP="00AB3E6A">
            <w:pPr>
              <w:ind w:right="510"/>
              <w:rPr>
                <w:rFonts w:ascii="Arial" w:hAnsi="Arial" w:cs="Arial"/>
                <w:color w:val="000000"/>
              </w:rPr>
            </w:pPr>
            <w:r w:rsidRPr="00DC5603">
              <w:rPr>
                <w:rFonts w:ascii="Arial" w:hAnsi="Arial" w:cs="Arial"/>
                <w:color w:val="000000"/>
              </w:rPr>
              <w:t>Competition Commission And BB Investment Company (Pty) Ltd ; Bidvest Group Ltd; Adcock Ingram Holdings Ltd</w:t>
            </w:r>
          </w:p>
        </w:tc>
        <w:tc>
          <w:tcPr>
            <w:tcW w:w="2409" w:type="dxa"/>
          </w:tcPr>
          <w:p w:rsidR="00A775D8" w:rsidRPr="00DC5603" w:rsidRDefault="00A775D8" w:rsidP="00AB3E6A">
            <w:pPr>
              <w:ind w:right="510"/>
              <w:rPr>
                <w:rFonts w:ascii="Arial" w:hAnsi="Arial" w:cs="Arial"/>
              </w:rPr>
            </w:pPr>
            <w:r w:rsidRPr="00DC5603">
              <w:rPr>
                <w:rFonts w:ascii="Arial" w:hAnsi="Arial" w:cs="Arial"/>
              </w:rPr>
              <w:t>Confirm settlement agreement</w:t>
            </w:r>
          </w:p>
        </w:tc>
        <w:tc>
          <w:tcPr>
            <w:tcW w:w="1843" w:type="dxa"/>
          </w:tcPr>
          <w:p w:rsidR="00A775D8" w:rsidRPr="00DC5603" w:rsidRDefault="00A775D8" w:rsidP="00AB3E6A">
            <w:pPr>
              <w:ind w:right="510"/>
              <w:rPr>
                <w:rFonts w:ascii="Arial" w:hAnsi="Arial" w:cs="Arial"/>
              </w:rPr>
            </w:pPr>
            <w:r>
              <w:rPr>
                <w:rFonts w:ascii="Arial" w:hAnsi="Arial" w:cs="Arial"/>
              </w:rPr>
              <w:t>Decision pending</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Actis</w:t>
            </w:r>
            <w:proofErr w:type="spellEnd"/>
            <w:r w:rsidRPr="00DC5603">
              <w:rPr>
                <w:rFonts w:ascii="Arial" w:hAnsi="Arial" w:cs="Arial"/>
                <w:color w:val="000000"/>
              </w:rPr>
              <w:t xml:space="preserve"> Impact Limited And Impact Holdings (Mauritius S.A) Limited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Indluplace</w:t>
            </w:r>
            <w:proofErr w:type="spellEnd"/>
            <w:r w:rsidRPr="00DC5603">
              <w:rPr>
                <w:rFonts w:ascii="Arial" w:hAnsi="Arial" w:cs="Arial"/>
                <w:color w:val="000000"/>
              </w:rPr>
              <w:t xml:space="preserve"> Properties Ltd And </w:t>
            </w:r>
            <w:proofErr w:type="spellStart"/>
            <w:r w:rsidRPr="00DC5603">
              <w:rPr>
                <w:rFonts w:ascii="Arial" w:hAnsi="Arial" w:cs="Arial"/>
                <w:color w:val="000000"/>
              </w:rPr>
              <w:t>Diluculo</w:t>
            </w:r>
            <w:proofErr w:type="spellEnd"/>
            <w:r w:rsidRPr="00DC5603">
              <w:rPr>
                <w:rFonts w:ascii="Arial" w:hAnsi="Arial" w:cs="Arial"/>
                <w:color w:val="000000"/>
              </w:rPr>
              <w:t xml:space="preserve"> Properties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Pr>
                <w:rFonts w:ascii="Arial" w:hAnsi="Arial" w:cs="Arial"/>
                <w:color w:val="000000"/>
              </w:rPr>
              <w:t>Unile</w:t>
            </w:r>
            <w:r w:rsidRPr="00DC5603">
              <w:rPr>
                <w:rFonts w:ascii="Arial" w:hAnsi="Arial" w:cs="Arial"/>
                <w:color w:val="000000"/>
              </w:rPr>
              <w:t xml:space="preserve">ver South Africa (Pty) Ltd And </w:t>
            </w:r>
            <w:proofErr w:type="spellStart"/>
            <w:r w:rsidRPr="00DC5603">
              <w:rPr>
                <w:rFonts w:ascii="Arial" w:hAnsi="Arial" w:cs="Arial"/>
                <w:color w:val="000000"/>
              </w:rPr>
              <w:t>Aconcague</w:t>
            </w:r>
            <w:proofErr w:type="spellEnd"/>
            <w:r w:rsidRPr="00DC5603">
              <w:rPr>
                <w:rFonts w:ascii="Arial" w:hAnsi="Arial" w:cs="Arial"/>
                <w:color w:val="000000"/>
              </w:rPr>
              <w:t xml:space="preserve"> 14 Investment (RT)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sidRPr="00DC5603">
              <w:rPr>
                <w:rFonts w:ascii="Arial" w:hAnsi="Arial" w:cs="Arial"/>
                <w:color w:val="000000"/>
              </w:rPr>
              <w:t xml:space="preserve">Business Venture Investments </w:t>
            </w:r>
            <w:r w:rsidRPr="00DC5603">
              <w:rPr>
                <w:rFonts w:ascii="Arial" w:hAnsi="Arial" w:cs="Arial"/>
                <w:color w:val="000000"/>
              </w:rPr>
              <w:lastRenderedPageBreak/>
              <w:t xml:space="preserve">No.1953 (Pty) Ltd And </w:t>
            </w:r>
            <w:proofErr w:type="spellStart"/>
            <w:r w:rsidRPr="00DC5603">
              <w:rPr>
                <w:rFonts w:ascii="Arial" w:hAnsi="Arial" w:cs="Arial"/>
                <w:color w:val="000000"/>
              </w:rPr>
              <w:t>Afrit</w:t>
            </w:r>
            <w:proofErr w:type="spellEnd"/>
            <w:r w:rsidRPr="00DC5603">
              <w:rPr>
                <w:rFonts w:ascii="Arial" w:hAnsi="Arial" w:cs="Arial"/>
                <w:color w:val="000000"/>
              </w:rPr>
              <w:t xml:space="preserve"> Group (Pty) Ltd</w:t>
            </w:r>
          </w:p>
        </w:tc>
        <w:tc>
          <w:tcPr>
            <w:tcW w:w="2409" w:type="dxa"/>
          </w:tcPr>
          <w:p w:rsidR="00A775D8" w:rsidRPr="00DC5603" w:rsidRDefault="00A775D8" w:rsidP="00AB3E6A">
            <w:pPr>
              <w:ind w:right="510"/>
              <w:rPr>
                <w:rFonts w:ascii="Arial" w:hAnsi="Arial" w:cs="Arial"/>
              </w:rPr>
            </w:pPr>
            <w:r w:rsidRPr="00DC5603">
              <w:rPr>
                <w:rFonts w:ascii="Arial" w:hAnsi="Arial" w:cs="Arial"/>
              </w:rPr>
              <w:lastRenderedPageBreak/>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bl>
    <w:p w:rsidR="0007289B" w:rsidRPr="00DC5603" w:rsidRDefault="0007289B" w:rsidP="00F31FEA">
      <w:pPr>
        <w:autoSpaceDE w:val="0"/>
        <w:autoSpaceDN w:val="0"/>
        <w:spacing w:after="160" w:line="276" w:lineRule="auto"/>
        <w:ind w:left="510" w:right="510"/>
        <w:contextualSpacing/>
        <w:jc w:val="both"/>
        <w:rPr>
          <w:rFonts w:ascii="Arial" w:hAnsi="Arial" w:cs="Arial"/>
          <w:b/>
          <w:bCs/>
        </w:rPr>
      </w:pPr>
    </w:p>
    <w:p w:rsidR="003B4A9F" w:rsidRPr="00DC5603" w:rsidRDefault="004F0C89"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Novus Holdings</w:t>
      </w:r>
      <w:r w:rsidR="00A775D8">
        <w:rPr>
          <w:rFonts w:ascii="Arial" w:hAnsi="Arial" w:cs="Arial"/>
          <w:b/>
          <w:bCs/>
        </w:rPr>
        <w:t xml:space="preserve"> to acquire</w:t>
      </w:r>
      <w:r w:rsidRPr="00DC5603">
        <w:rPr>
          <w:rFonts w:ascii="Arial" w:hAnsi="Arial" w:cs="Arial"/>
          <w:b/>
          <w:bCs/>
        </w:rPr>
        <w:t xml:space="preserve"> ITB Manufacturing</w:t>
      </w:r>
    </w:p>
    <w:p w:rsidR="003B4A9F" w:rsidRPr="00DC5603" w:rsidRDefault="003B4A9F" w:rsidP="00F31FEA">
      <w:pPr>
        <w:autoSpaceDE w:val="0"/>
        <w:autoSpaceDN w:val="0"/>
        <w:spacing w:line="276" w:lineRule="auto"/>
        <w:ind w:left="510" w:right="510"/>
        <w:jc w:val="both"/>
        <w:rPr>
          <w:rFonts w:ascii="Arial" w:hAnsi="Arial" w:cs="Arial"/>
          <w:b/>
          <w:bCs/>
        </w:rPr>
      </w:pPr>
    </w:p>
    <w:p w:rsidR="00FA33CF" w:rsidRPr="00DC5603" w:rsidRDefault="00FA33CF"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The Tribunal </w:t>
      </w:r>
      <w:r w:rsidR="00A775D8">
        <w:rPr>
          <w:rFonts w:ascii="Arial" w:hAnsi="Arial" w:cs="Arial"/>
          <w:lang w:val="en-GB"/>
        </w:rPr>
        <w:t xml:space="preserve">has approved without conditions the large merger between </w:t>
      </w:r>
      <w:r w:rsidRPr="00DC5603">
        <w:rPr>
          <w:rFonts w:ascii="Arial" w:hAnsi="Arial" w:cs="Arial"/>
          <w:lang w:val="en-GB"/>
        </w:rPr>
        <w:t>Novus Holdings Ltd (Novus)</w:t>
      </w:r>
      <w:r w:rsidR="008C39ED">
        <w:rPr>
          <w:rFonts w:ascii="Arial" w:hAnsi="Arial" w:cs="Arial"/>
          <w:lang w:val="en-GB"/>
        </w:rPr>
        <w:t>, controlled by Media24,</w:t>
      </w:r>
      <w:r w:rsidRPr="00DC5603">
        <w:rPr>
          <w:rFonts w:ascii="Arial" w:hAnsi="Arial" w:cs="Arial"/>
          <w:lang w:val="en-GB"/>
        </w:rPr>
        <w:t xml:space="preserve"> intends to acquire ITB Manufacturing (Pty) Ltd (ITB).</w:t>
      </w:r>
    </w:p>
    <w:p w:rsidR="00FA33CF" w:rsidRPr="00DC5603" w:rsidRDefault="00FA33CF" w:rsidP="00F31FEA">
      <w:pPr>
        <w:autoSpaceDE w:val="0"/>
        <w:autoSpaceDN w:val="0"/>
        <w:spacing w:line="276" w:lineRule="auto"/>
        <w:ind w:left="510" w:right="510"/>
        <w:jc w:val="both"/>
        <w:rPr>
          <w:rFonts w:ascii="Arial" w:hAnsi="Arial" w:cs="Arial"/>
          <w:lang w:val="en-GB"/>
        </w:rPr>
      </w:pPr>
    </w:p>
    <w:p w:rsidR="00FA33CF" w:rsidRPr="00DC5603" w:rsidRDefault="00FA33CF" w:rsidP="00F31FEA">
      <w:pPr>
        <w:spacing w:after="200" w:line="276" w:lineRule="auto"/>
        <w:ind w:left="510" w:right="510"/>
        <w:jc w:val="both"/>
        <w:rPr>
          <w:rFonts w:ascii="Arial" w:hAnsi="Arial" w:cs="Arial"/>
          <w:lang w:val="en-GB"/>
        </w:rPr>
      </w:pPr>
      <w:r w:rsidRPr="00DC5603">
        <w:rPr>
          <w:rFonts w:ascii="Arial" w:hAnsi="Arial" w:cs="Arial"/>
          <w:lang w:val="en-GB"/>
        </w:rPr>
        <w:t>Media24 (Pty) Ltd</w:t>
      </w:r>
      <w:r w:rsidR="008C39ED">
        <w:rPr>
          <w:rFonts w:ascii="Arial" w:hAnsi="Arial" w:cs="Arial"/>
          <w:lang w:val="en-GB"/>
        </w:rPr>
        <w:t xml:space="preserve"> which controls Novus is a </w:t>
      </w:r>
      <w:r w:rsidRPr="00DC5603">
        <w:rPr>
          <w:rFonts w:ascii="Arial" w:hAnsi="Arial" w:cs="Arial"/>
          <w:lang w:val="en-GB"/>
        </w:rPr>
        <w:t xml:space="preserve">wholly-owned subsidiary of Naspers Limited. </w:t>
      </w:r>
      <w:r>
        <w:rPr>
          <w:rFonts w:ascii="Arial" w:hAnsi="Arial" w:cs="Arial"/>
          <w:lang w:val="en-GB"/>
        </w:rPr>
        <w:t>Novus</w:t>
      </w:r>
      <w:r w:rsidRPr="00DC5603">
        <w:rPr>
          <w:rFonts w:ascii="Arial" w:hAnsi="Arial" w:cs="Arial"/>
          <w:lang w:val="en-GB"/>
        </w:rPr>
        <w:t xml:space="preserve"> is a commercial printing business comprising specialised printing plants and a tissue plant in South Africa. The operational printing business of the Naspers Group is indirectly held by Media24 through its shareholding in Novus. </w:t>
      </w:r>
    </w:p>
    <w:p w:rsidR="00FA33CF" w:rsidRPr="00DC5603" w:rsidRDefault="00FA33CF" w:rsidP="00F31FEA">
      <w:pPr>
        <w:spacing w:line="276" w:lineRule="auto"/>
        <w:ind w:left="510" w:right="510"/>
        <w:jc w:val="both"/>
        <w:rPr>
          <w:rFonts w:ascii="Arial" w:hAnsi="Arial" w:cs="Arial"/>
          <w:lang w:eastAsia="en-ZA"/>
        </w:rPr>
      </w:pPr>
      <w:r w:rsidRPr="00DC5603">
        <w:rPr>
          <w:rFonts w:ascii="Arial" w:hAnsi="Arial" w:cs="Arial"/>
          <w:lang w:eastAsia="en-ZA"/>
        </w:rPr>
        <w:t xml:space="preserve">ITB is a private company controlled by various family Trusts. ITB manufactures and supplies flexible packaging solutions to intermediate and end users. </w:t>
      </w:r>
    </w:p>
    <w:p w:rsidR="00FA33CF" w:rsidRPr="00DC5603" w:rsidRDefault="00FA33CF" w:rsidP="00F31FEA">
      <w:pPr>
        <w:spacing w:line="276" w:lineRule="auto"/>
        <w:ind w:left="510" w:right="510"/>
        <w:jc w:val="both"/>
        <w:rPr>
          <w:rFonts w:ascii="Arial" w:hAnsi="Arial" w:cs="Arial"/>
          <w:lang w:eastAsia="en-ZA"/>
        </w:rPr>
      </w:pPr>
    </w:p>
    <w:p w:rsidR="00FA33CF" w:rsidRPr="00DC5603" w:rsidRDefault="00FA33CF" w:rsidP="00F31FEA">
      <w:pPr>
        <w:spacing w:line="276" w:lineRule="auto"/>
        <w:ind w:left="510" w:right="510"/>
        <w:jc w:val="both"/>
        <w:rPr>
          <w:rFonts w:ascii="Arial" w:hAnsi="Arial" w:cs="Arial"/>
          <w:lang w:eastAsia="en-ZA"/>
        </w:rPr>
      </w:pPr>
      <w:r>
        <w:rPr>
          <w:rFonts w:ascii="Arial" w:hAnsi="Arial" w:cs="Arial"/>
          <w:lang w:eastAsia="en-ZA"/>
        </w:rPr>
        <w:t xml:space="preserve">The relevant market </w:t>
      </w:r>
      <w:r w:rsidR="00A775D8">
        <w:rPr>
          <w:rFonts w:ascii="Arial" w:hAnsi="Arial" w:cs="Arial"/>
          <w:lang w:eastAsia="en-ZA"/>
        </w:rPr>
        <w:t xml:space="preserve">in this merger </w:t>
      </w:r>
      <w:r>
        <w:rPr>
          <w:rFonts w:ascii="Arial" w:hAnsi="Arial" w:cs="Arial"/>
          <w:lang w:eastAsia="en-ZA"/>
        </w:rPr>
        <w:t xml:space="preserve">is </w:t>
      </w:r>
      <w:r w:rsidRPr="00DC5603">
        <w:rPr>
          <w:rFonts w:ascii="Arial" w:hAnsi="Arial" w:cs="Arial"/>
          <w:lang w:eastAsia="en-ZA"/>
        </w:rPr>
        <w:t xml:space="preserve">the manufacturing and supply of flexible packaging solutions. </w:t>
      </w:r>
    </w:p>
    <w:p w:rsidR="00DC5603" w:rsidRPr="00DC5603" w:rsidRDefault="00DC5603" w:rsidP="00F31FEA">
      <w:pPr>
        <w:spacing w:line="276" w:lineRule="auto"/>
        <w:ind w:left="510" w:right="510"/>
        <w:jc w:val="both"/>
        <w:rPr>
          <w:rFonts w:ascii="Arial" w:hAnsi="Arial" w:cs="Arial"/>
          <w:lang w:eastAsia="en-ZA"/>
        </w:rPr>
      </w:pPr>
    </w:p>
    <w:p w:rsidR="004E3EE0" w:rsidRDefault="00520368" w:rsidP="00F31FEA">
      <w:pPr>
        <w:spacing w:line="276" w:lineRule="auto"/>
        <w:ind w:left="510" w:right="510"/>
        <w:jc w:val="both"/>
        <w:rPr>
          <w:rFonts w:ascii="Arial" w:hAnsi="Arial" w:cs="Arial"/>
          <w:b/>
          <w:lang w:eastAsia="en-ZA"/>
        </w:rPr>
      </w:pPr>
      <w:r>
        <w:rPr>
          <w:rFonts w:ascii="Arial" w:hAnsi="Arial" w:cs="Arial"/>
          <w:b/>
          <w:lang w:eastAsia="en-ZA"/>
        </w:rPr>
        <w:t xml:space="preserve">Decision still pending on </w:t>
      </w:r>
      <w:r w:rsidR="004E3EE0" w:rsidRPr="00DC5603">
        <w:rPr>
          <w:rFonts w:ascii="Arial" w:hAnsi="Arial" w:cs="Arial"/>
          <w:b/>
          <w:lang w:eastAsia="en-ZA"/>
        </w:rPr>
        <w:t xml:space="preserve">Bidvest </w:t>
      </w:r>
      <w:r>
        <w:rPr>
          <w:rFonts w:ascii="Arial" w:hAnsi="Arial" w:cs="Arial"/>
          <w:b/>
          <w:lang w:eastAsia="en-ZA"/>
        </w:rPr>
        <w:t>settlement agreement involving Adcock Ingram</w:t>
      </w:r>
    </w:p>
    <w:p w:rsidR="00520368" w:rsidRDefault="00520368" w:rsidP="00F31FEA">
      <w:pPr>
        <w:spacing w:line="276" w:lineRule="auto"/>
        <w:ind w:left="510" w:right="510"/>
        <w:jc w:val="both"/>
        <w:rPr>
          <w:rFonts w:ascii="Arial" w:hAnsi="Arial" w:cs="Arial"/>
          <w:b/>
          <w:lang w:eastAsia="en-ZA"/>
        </w:rPr>
      </w:pPr>
    </w:p>
    <w:p w:rsidR="004E3EE0" w:rsidRPr="00520368" w:rsidRDefault="00520368" w:rsidP="00F31FEA">
      <w:pPr>
        <w:spacing w:line="276" w:lineRule="auto"/>
        <w:ind w:left="510" w:right="510"/>
        <w:jc w:val="both"/>
        <w:rPr>
          <w:rFonts w:ascii="Arial" w:hAnsi="Arial" w:cs="Arial"/>
          <w:b/>
          <w:lang w:eastAsia="en-ZA"/>
        </w:rPr>
      </w:pPr>
      <w:r>
        <w:rPr>
          <w:rFonts w:ascii="Arial" w:hAnsi="Arial" w:cs="Arial"/>
          <w:lang w:eastAsia="en-ZA"/>
        </w:rPr>
        <w:t xml:space="preserve">The Tribunal is considering the </w:t>
      </w:r>
      <w:proofErr w:type="spellStart"/>
      <w:r w:rsidRPr="00520368">
        <w:rPr>
          <w:rFonts w:ascii="Arial" w:hAnsi="Arial" w:cs="Arial"/>
          <w:lang w:eastAsia="en-ZA"/>
        </w:rPr>
        <w:t>The</w:t>
      </w:r>
      <w:proofErr w:type="spellEnd"/>
      <w:r w:rsidRPr="00520368">
        <w:rPr>
          <w:rFonts w:ascii="Arial" w:hAnsi="Arial" w:cs="Arial"/>
          <w:lang w:eastAsia="en-ZA"/>
        </w:rPr>
        <w:t xml:space="preserve"> </w:t>
      </w:r>
      <w:r w:rsidR="004E3EE0" w:rsidRPr="00DC5603">
        <w:rPr>
          <w:rFonts w:ascii="Arial" w:hAnsi="Arial" w:cs="Arial"/>
          <w:lang w:eastAsia="en-ZA"/>
        </w:rPr>
        <w:t xml:space="preserve">settlement agreement involving </w:t>
      </w:r>
      <w:r w:rsidR="004E3EE0" w:rsidRPr="00DC5603">
        <w:rPr>
          <w:rFonts w:ascii="Arial" w:hAnsi="Arial" w:cs="Arial"/>
        </w:rPr>
        <w:t xml:space="preserve">BB Investment (BB Investment Company Ltd, a wholly owned subsidiary of the Bidvest Group Ltd) and Bidvest Group Limited for acquiring control of Adcock Ingram Holdings Limited before the merger’s approval </w:t>
      </w:r>
      <w:r>
        <w:rPr>
          <w:rFonts w:ascii="Arial" w:hAnsi="Arial" w:cs="Arial"/>
        </w:rPr>
        <w:t>is being considered by the Tribunal.</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In April 2014, the Commission was notified by BB Investment and Bidvest of its intention to acquire a controlling interest in Adcock. When the Commission investigated the merger it found evidence that suggested Bidvest may have acquired control of Adcock prior to obtaining approval from the Tribunal. </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The merger was improved on 19 August 2014, and it was noted in its reasons by the Tribunal that Bidvest may have acquired control over Adcock prior to obtaining approval from the Tribunal. </w:t>
      </w:r>
    </w:p>
    <w:p w:rsidR="004E3EE0" w:rsidRPr="00DC5603" w:rsidRDefault="004E3EE0" w:rsidP="00F31FEA">
      <w:pPr>
        <w:ind w:left="510" w:right="510"/>
        <w:jc w:val="both"/>
        <w:rPr>
          <w:rFonts w:ascii="Arial" w:hAnsi="Arial" w:cs="Arial"/>
        </w:rPr>
      </w:pPr>
    </w:p>
    <w:p w:rsidR="00851C8F" w:rsidRDefault="004E3EE0" w:rsidP="00F31FEA">
      <w:pPr>
        <w:ind w:left="510" w:right="510"/>
        <w:jc w:val="both"/>
        <w:rPr>
          <w:rFonts w:ascii="Arial" w:hAnsi="Arial" w:cs="Arial"/>
        </w:rPr>
      </w:pPr>
      <w:r w:rsidRPr="00DC5603">
        <w:rPr>
          <w:rFonts w:ascii="Arial" w:hAnsi="Arial" w:cs="Arial"/>
        </w:rPr>
        <w:t>The Commission referred this complaint to t</w:t>
      </w:r>
      <w:r w:rsidR="00520368">
        <w:rPr>
          <w:rFonts w:ascii="Arial" w:hAnsi="Arial" w:cs="Arial"/>
        </w:rPr>
        <w:t xml:space="preserve">he Tribunal on 09 December 2015. Commission has recommended that BB Investments and Bidvest pay a settlement amount of R2 million. </w:t>
      </w:r>
      <w:r w:rsidRPr="00DC5603">
        <w:rPr>
          <w:rFonts w:ascii="Arial" w:hAnsi="Arial" w:cs="Arial"/>
        </w:rPr>
        <w:t xml:space="preserve"> </w:t>
      </w:r>
    </w:p>
    <w:p w:rsidR="00851C8F" w:rsidRPr="00DC5603" w:rsidRDefault="00851C8F" w:rsidP="00F31FEA">
      <w:pPr>
        <w:ind w:left="510" w:right="510"/>
        <w:jc w:val="both"/>
        <w:rPr>
          <w:rFonts w:ascii="Arial" w:hAnsi="Arial" w:cs="Arial"/>
        </w:rPr>
      </w:pPr>
    </w:p>
    <w:p w:rsidR="004E3EE0" w:rsidRPr="00DC5603" w:rsidRDefault="004E3EE0" w:rsidP="00F31FEA">
      <w:pPr>
        <w:ind w:left="510" w:right="510"/>
        <w:rPr>
          <w:rFonts w:ascii="Arial" w:hAnsi="Arial" w:cs="Arial"/>
        </w:rPr>
      </w:pPr>
      <w:r w:rsidRPr="00DC5603">
        <w:rPr>
          <w:rFonts w:ascii="Arial" w:hAnsi="Arial" w:cs="Arial"/>
        </w:rPr>
        <w:t> </w:t>
      </w:r>
    </w:p>
    <w:p w:rsidR="003C6622" w:rsidRPr="00DC5603" w:rsidRDefault="00A775D8"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The merger of </w:t>
      </w:r>
      <w:proofErr w:type="spellStart"/>
      <w:r>
        <w:rPr>
          <w:rFonts w:ascii="Arial" w:hAnsi="Arial" w:cs="Arial"/>
          <w:b/>
          <w:bCs/>
        </w:rPr>
        <w:t>Actis</w:t>
      </w:r>
      <w:proofErr w:type="spellEnd"/>
      <w:r>
        <w:rPr>
          <w:rFonts w:ascii="Arial" w:hAnsi="Arial" w:cs="Arial"/>
          <w:b/>
          <w:bCs/>
        </w:rPr>
        <w:t xml:space="preserve"> Impact and MCO with</w:t>
      </w:r>
      <w:r w:rsidR="003C6622" w:rsidRPr="00DC5603">
        <w:rPr>
          <w:rFonts w:ascii="Arial" w:hAnsi="Arial" w:cs="Arial"/>
          <w:b/>
          <w:bCs/>
        </w:rPr>
        <w:t xml:space="preserve"> Im</w:t>
      </w:r>
      <w:r>
        <w:rPr>
          <w:rFonts w:ascii="Arial" w:hAnsi="Arial" w:cs="Arial"/>
          <w:b/>
          <w:bCs/>
        </w:rPr>
        <w:t xml:space="preserve">pact Holdings (Mauritius SA) is </w:t>
      </w:r>
      <w:r w:rsidR="00520368">
        <w:rPr>
          <w:rFonts w:ascii="Arial" w:hAnsi="Arial" w:cs="Arial"/>
          <w:b/>
          <w:bCs/>
        </w:rPr>
        <w:t xml:space="preserve">   </w:t>
      </w:r>
      <w:r>
        <w:rPr>
          <w:rFonts w:ascii="Arial" w:hAnsi="Arial" w:cs="Arial"/>
          <w:b/>
          <w:bCs/>
        </w:rPr>
        <w:t>approved</w:t>
      </w:r>
      <w:r w:rsidR="003C6622" w:rsidRPr="00DC5603">
        <w:rPr>
          <w:rFonts w:ascii="Arial" w:hAnsi="Arial" w:cs="Arial"/>
          <w:b/>
          <w:bCs/>
        </w:rPr>
        <w:t xml:space="preserve"> </w:t>
      </w:r>
    </w:p>
    <w:p w:rsidR="003C6622" w:rsidRPr="00DC5603" w:rsidRDefault="003C6622" w:rsidP="00F31FEA">
      <w:pPr>
        <w:spacing w:after="160" w:line="276" w:lineRule="auto"/>
        <w:ind w:left="510" w:right="510"/>
        <w:contextualSpacing/>
        <w:jc w:val="both"/>
        <w:rPr>
          <w:rFonts w:ascii="Arial" w:hAnsi="Arial" w:cs="Arial"/>
          <w:b/>
          <w:bCs/>
        </w:rPr>
      </w:pPr>
    </w:p>
    <w:p w:rsidR="003C6622" w:rsidRPr="00DC5603"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A large merger in the real estate and property sector </w:t>
      </w:r>
      <w:r w:rsidR="00A775D8">
        <w:rPr>
          <w:rFonts w:ascii="Arial" w:hAnsi="Arial" w:cs="Arial"/>
          <w:lang w:val="en-GB"/>
        </w:rPr>
        <w:t xml:space="preserve">was approved today, Wednesday, by the Tribunal. The merger involves </w:t>
      </w:r>
      <w:r w:rsidR="00851C8F">
        <w:rPr>
          <w:rFonts w:ascii="Arial" w:hAnsi="Arial" w:cs="Arial"/>
          <w:lang w:val="en-GB"/>
        </w:rPr>
        <w:t xml:space="preserve">newly </w:t>
      </w:r>
      <w:r w:rsidRPr="00DC5603">
        <w:rPr>
          <w:rFonts w:ascii="Arial" w:hAnsi="Arial" w:cs="Arial"/>
          <w:lang w:val="en-GB"/>
        </w:rPr>
        <w:t xml:space="preserve">established company, </w:t>
      </w:r>
      <w:proofErr w:type="spellStart"/>
      <w:r w:rsidRPr="00DC5603">
        <w:rPr>
          <w:rFonts w:ascii="Arial" w:hAnsi="Arial" w:cs="Arial"/>
          <w:lang w:val="en-GB"/>
        </w:rPr>
        <w:lastRenderedPageBreak/>
        <w:t>Actis</w:t>
      </w:r>
      <w:proofErr w:type="spellEnd"/>
      <w:r w:rsidRPr="00DC5603">
        <w:rPr>
          <w:rFonts w:ascii="Arial" w:hAnsi="Arial" w:cs="Arial"/>
          <w:lang w:val="en-GB"/>
        </w:rPr>
        <w:t xml:space="preserve"> Impact Limited (</w:t>
      </w:r>
      <w:proofErr w:type="spellStart"/>
      <w:r w:rsidRPr="00DC5603">
        <w:rPr>
          <w:rFonts w:ascii="Arial" w:hAnsi="Arial" w:cs="Arial"/>
          <w:lang w:val="en-GB"/>
        </w:rPr>
        <w:t>Actis</w:t>
      </w:r>
      <w:proofErr w:type="spellEnd"/>
      <w:r w:rsidRPr="00DC5603">
        <w:rPr>
          <w:rFonts w:ascii="Arial" w:hAnsi="Arial" w:cs="Arial"/>
          <w:lang w:val="en-GB"/>
        </w:rPr>
        <w:t xml:space="preserve">) and </w:t>
      </w:r>
      <w:r w:rsidR="00A775D8">
        <w:rPr>
          <w:rFonts w:ascii="Arial" w:hAnsi="Arial" w:cs="Arial"/>
          <w:lang w:val="en-GB"/>
        </w:rPr>
        <w:t xml:space="preserve">holding company </w:t>
      </w:r>
      <w:proofErr w:type="spellStart"/>
      <w:r w:rsidR="00A775D8">
        <w:rPr>
          <w:rFonts w:ascii="Arial" w:hAnsi="Arial" w:cs="Arial"/>
          <w:lang w:val="en-GB"/>
        </w:rPr>
        <w:t>Mco</w:t>
      </w:r>
      <w:proofErr w:type="spellEnd"/>
      <w:r w:rsidR="00A775D8">
        <w:rPr>
          <w:rFonts w:ascii="Arial" w:hAnsi="Arial" w:cs="Arial"/>
          <w:lang w:val="en-GB"/>
        </w:rPr>
        <w:t>, and</w:t>
      </w:r>
      <w:r w:rsidRPr="00DC5603">
        <w:rPr>
          <w:rFonts w:ascii="Arial" w:hAnsi="Arial" w:cs="Arial"/>
          <w:lang w:val="en-GB"/>
        </w:rPr>
        <w:t xml:space="preserve"> target company Impact Holdings (Mauritius SA) Ltd (Impact).</w:t>
      </w:r>
    </w:p>
    <w:p w:rsidR="003C6622" w:rsidRPr="00DC5603" w:rsidRDefault="003C6622" w:rsidP="00F31FEA">
      <w:pPr>
        <w:spacing w:line="276" w:lineRule="auto"/>
        <w:ind w:left="510" w:right="510"/>
        <w:jc w:val="both"/>
        <w:rPr>
          <w:rFonts w:ascii="Arial" w:hAnsi="Arial" w:cs="Arial"/>
          <w:lang w:val="en-GB"/>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Actis</w:t>
      </w:r>
      <w:proofErr w:type="spellEnd"/>
      <w:r w:rsidRPr="00DC5603">
        <w:rPr>
          <w:rFonts w:ascii="Arial" w:hAnsi="Arial" w:cs="Arial"/>
          <w:lang w:val="en-GB"/>
        </w:rPr>
        <w:t xml:space="preserve"> is incorporated in accordance with the laws of Mauritius. </w:t>
      </w:r>
      <w:proofErr w:type="spellStart"/>
      <w:r w:rsidRPr="00DC5603">
        <w:rPr>
          <w:rFonts w:ascii="Arial" w:hAnsi="Arial" w:cs="Arial"/>
          <w:lang w:val="en-GB"/>
        </w:rPr>
        <w:t>Actis</w:t>
      </w:r>
      <w:proofErr w:type="spellEnd"/>
      <w:r w:rsidRPr="00DC5603">
        <w:rPr>
          <w:rFonts w:ascii="Arial" w:hAnsi="Arial" w:cs="Arial"/>
          <w:lang w:val="en-GB"/>
        </w:rPr>
        <w:t xml:space="preserve"> is controlled by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a private equity real estate fund investing in primarily prime retail, office and industrial property developments in Sub-Saharan Africa. The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does not have any investments in South Africa. </w:t>
      </w:r>
    </w:p>
    <w:p w:rsidR="003C6622" w:rsidRPr="00DC5603" w:rsidRDefault="003C6622" w:rsidP="00F31FEA">
      <w:pPr>
        <w:spacing w:line="276" w:lineRule="auto"/>
        <w:ind w:left="510" w:right="510"/>
        <w:jc w:val="both"/>
        <w:rPr>
          <w:rFonts w:ascii="Arial" w:hAnsi="Arial" w:cs="Arial"/>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Mco</w:t>
      </w:r>
      <w:proofErr w:type="spellEnd"/>
      <w:r w:rsidRPr="00DC5603">
        <w:rPr>
          <w:rFonts w:ascii="Arial" w:hAnsi="Arial" w:cs="Arial"/>
          <w:lang w:val="en-GB"/>
        </w:rPr>
        <w:t xml:space="preserve"> is a private company to be incorporated in accordance with the laws of Mauritius. </w:t>
      </w:r>
      <w:proofErr w:type="spellStart"/>
      <w:r w:rsidRPr="00DC5603">
        <w:rPr>
          <w:rFonts w:ascii="Arial" w:hAnsi="Arial" w:cs="Arial"/>
          <w:lang w:val="en-GB"/>
        </w:rPr>
        <w:t>Mco</w:t>
      </w:r>
      <w:proofErr w:type="spellEnd"/>
      <w:r w:rsidRPr="00DC5603">
        <w:rPr>
          <w:rFonts w:ascii="Arial" w:hAnsi="Arial" w:cs="Arial"/>
          <w:lang w:val="en-GB"/>
        </w:rPr>
        <w:t xml:space="preserve"> will be controlled by the existing shareholders of</w:t>
      </w:r>
      <w:r>
        <w:rPr>
          <w:rFonts w:ascii="Arial" w:hAnsi="Arial" w:cs="Arial"/>
          <w:lang w:val="en-GB"/>
        </w:rPr>
        <w:t xml:space="preserve"> the</w:t>
      </w:r>
      <w:r w:rsidRPr="00DC5603">
        <w:rPr>
          <w:rFonts w:ascii="Arial" w:hAnsi="Arial" w:cs="Arial"/>
          <w:lang w:val="en-GB"/>
        </w:rPr>
        <w:t xml:space="preserve"> </w:t>
      </w:r>
      <w:proofErr w:type="spellStart"/>
      <w:r w:rsidRPr="00DC5603">
        <w:rPr>
          <w:rFonts w:ascii="Arial" w:hAnsi="Arial" w:cs="Arial"/>
          <w:lang w:val="en-GB"/>
        </w:rPr>
        <w:t>Improvon</w:t>
      </w:r>
      <w:proofErr w:type="spellEnd"/>
      <w:r w:rsidRPr="00DC5603">
        <w:rPr>
          <w:rFonts w:ascii="Arial" w:hAnsi="Arial" w:cs="Arial"/>
          <w:lang w:val="en-GB"/>
        </w:rPr>
        <w:t xml:space="preserve"> Group</w:t>
      </w:r>
      <w:r>
        <w:rPr>
          <w:rFonts w:ascii="Arial" w:hAnsi="Arial" w:cs="Arial"/>
          <w:lang w:val="en-GB"/>
        </w:rPr>
        <w:t xml:space="preserve"> (“existing shareholders”)</w:t>
      </w:r>
      <w:r w:rsidRPr="00DC5603">
        <w:rPr>
          <w:rFonts w:ascii="Arial" w:hAnsi="Arial" w:cs="Arial"/>
          <w:lang w:val="en-GB"/>
        </w:rPr>
        <w:t xml:space="preserve">. </w:t>
      </w:r>
      <w:proofErr w:type="spellStart"/>
      <w:r w:rsidRPr="00DC5603">
        <w:rPr>
          <w:rFonts w:ascii="Arial" w:hAnsi="Arial" w:cs="Arial"/>
          <w:lang w:val="en-GB"/>
        </w:rPr>
        <w:t>Mco</w:t>
      </w:r>
      <w:proofErr w:type="spellEnd"/>
      <w:r w:rsidRPr="00DC5603">
        <w:rPr>
          <w:rFonts w:ascii="Arial" w:hAnsi="Arial" w:cs="Arial"/>
          <w:lang w:val="en-GB"/>
        </w:rPr>
        <w:t xml:space="preserve"> has not been incorporated and therefore has no activities. The existing shareholders hold companies which are active in the property development sector, construction management sector and property management sector in South Africa.</w:t>
      </w:r>
    </w:p>
    <w:p w:rsidR="003C6622" w:rsidRPr="00DC5603" w:rsidRDefault="003C6622" w:rsidP="00F31FEA">
      <w:pPr>
        <w:spacing w:line="276" w:lineRule="auto"/>
        <w:ind w:left="510" w:right="510"/>
        <w:jc w:val="both"/>
        <w:rPr>
          <w:rFonts w:ascii="Arial" w:hAnsi="Arial" w:cs="Arial"/>
        </w:rPr>
      </w:pPr>
    </w:p>
    <w:p w:rsidR="003C6622"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Impact, a newly established special vehicle for the purposes of the proposed transaction, is a wholly-owned subsidiary of </w:t>
      </w:r>
      <w:proofErr w:type="spellStart"/>
      <w:r w:rsidRPr="00DC5603">
        <w:rPr>
          <w:rFonts w:ascii="Arial" w:hAnsi="Arial" w:cs="Arial"/>
          <w:lang w:val="en-GB"/>
        </w:rPr>
        <w:t>Actis</w:t>
      </w:r>
      <w:proofErr w:type="spellEnd"/>
      <w:r w:rsidRPr="00DC5603">
        <w:rPr>
          <w:rFonts w:ascii="Arial" w:hAnsi="Arial" w:cs="Arial"/>
          <w:lang w:val="en-GB"/>
        </w:rPr>
        <w:t xml:space="preserve">. </w:t>
      </w:r>
      <w:proofErr w:type="spellStart"/>
      <w:r w:rsidRPr="00DC5603">
        <w:rPr>
          <w:rFonts w:ascii="Arial" w:hAnsi="Arial" w:cs="Arial"/>
          <w:lang w:val="en-GB"/>
        </w:rPr>
        <w:t>Actis</w:t>
      </w:r>
      <w:proofErr w:type="spellEnd"/>
      <w:r w:rsidRPr="00DC5603">
        <w:rPr>
          <w:rFonts w:ascii="Arial" w:hAnsi="Arial" w:cs="Arial"/>
          <w:lang w:val="en-GB"/>
        </w:rPr>
        <w:t xml:space="preserve"> is one of the acquiring firms in the current transaction. Impact was established as a holding company into which </w:t>
      </w:r>
      <w:proofErr w:type="spellStart"/>
      <w:r w:rsidRPr="00DC5603">
        <w:rPr>
          <w:rFonts w:ascii="Arial" w:hAnsi="Arial" w:cs="Arial"/>
          <w:lang w:val="en-GB"/>
        </w:rPr>
        <w:t>Actis</w:t>
      </w:r>
      <w:proofErr w:type="spellEnd"/>
      <w:r w:rsidRPr="00DC5603">
        <w:rPr>
          <w:rFonts w:ascii="Arial" w:hAnsi="Arial" w:cs="Arial"/>
          <w:lang w:val="en-GB"/>
        </w:rPr>
        <w:t xml:space="preserve"> and the existing shareholders control certain industrial and logistics property investment assets and operating companies currently held by the existing shareholders.</w:t>
      </w:r>
    </w:p>
    <w:p w:rsidR="00A775D8" w:rsidRDefault="00A775D8" w:rsidP="00F31FEA">
      <w:pPr>
        <w:spacing w:line="276" w:lineRule="auto"/>
        <w:ind w:left="510" w:right="510"/>
        <w:jc w:val="both"/>
        <w:rPr>
          <w:rFonts w:ascii="Arial" w:hAnsi="Arial" w:cs="Arial"/>
          <w:lang w:val="en-GB"/>
        </w:rPr>
      </w:pPr>
    </w:p>
    <w:p w:rsidR="00A775D8"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 The merger was approved without conditions. </w:t>
      </w:r>
    </w:p>
    <w:p w:rsidR="003B4A9F" w:rsidRPr="00DC5603" w:rsidRDefault="003B4A9F" w:rsidP="00F31FEA">
      <w:pPr>
        <w:spacing w:line="276" w:lineRule="auto"/>
        <w:ind w:left="510" w:right="510"/>
        <w:jc w:val="both"/>
        <w:rPr>
          <w:rFonts w:ascii="Arial" w:hAnsi="Arial" w:cs="Arial"/>
          <w:lang w:val="en-GB"/>
        </w:rPr>
      </w:pPr>
    </w:p>
    <w:p w:rsidR="00FA33CF" w:rsidRPr="00DC5603" w:rsidRDefault="00FA33CF" w:rsidP="00F31FEA">
      <w:pPr>
        <w:autoSpaceDE w:val="0"/>
        <w:autoSpaceDN w:val="0"/>
        <w:spacing w:after="160" w:line="276" w:lineRule="auto"/>
        <w:ind w:left="510" w:right="510"/>
        <w:contextualSpacing/>
        <w:jc w:val="both"/>
        <w:rPr>
          <w:rFonts w:ascii="Arial" w:hAnsi="Arial" w:cs="Arial"/>
          <w:b/>
          <w:bCs/>
        </w:rPr>
      </w:pPr>
      <w:proofErr w:type="spellStart"/>
      <w:r w:rsidRPr="00DC5603">
        <w:rPr>
          <w:rFonts w:ascii="Arial" w:hAnsi="Arial" w:cs="Arial"/>
          <w:b/>
          <w:bCs/>
        </w:rPr>
        <w:t>Indluplace</w:t>
      </w:r>
      <w:proofErr w:type="spellEnd"/>
      <w:r w:rsidRPr="00DC5603">
        <w:rPr>
          <w:rFonts w:ascii="Arial" w:hAnsi="Arial" w:cs="Arial"/>
          <w:b/>
          <w:bCs/>
        </w:rPr>
        <w:t xml:space="preserve"> Properties </w:t>
      </w:r>
      <w:r w:rsidR="00A775D8">
        <w:rPr>
          <w:rFonts w:ascii="Arial" w:hAnsi="Arial" w:cs="Arial"/>
          <w:b/>
          <w:bCs/>
        </w:rPr>
        <w:t xml:space="preserve">and </w:t>
      </w:r>
      <w:proofErr w:type="spellStart"/>
      <w:r w:rsidRPr="00DC5603">
        <w:rPr>
          <w:rFonts w:ascii="Arial" w:hAnsi="Arial" w:cs="Arial"/>
          <w:b/>
          <w:bCs/>
        </w:rPr>
        <w:t>Diluculo</w:t>
      </w:r>
      <w:proofErr w:type="spellEnd"/>
      <w:r w:rsidRPr="00DC5603">
        <w:rPr>
          <w:rFonts w:ascii="Arial" w:hAnsi="Arial" w:cs="Arial"/>
          <w:b/>
          <w:bCs/>
        </w:rPr>
        <w:t xml:space="preserve"> Properties </w:t>
      </w:r>
      <w:r w:rsidR="00A775D8">
        <w:rPr>
          <w:rFonts w:ascii="Arial" w:hAnsi="Arial" w:cs="Arial"/>
          <w:b/>
          <w:bCs/>
        </w:rPr>
        <w:t>merger approved</w:t>
      </w:r>
    </w:p>
    <w:p w:rsidR="00FA33CF" w:rsidRPr="00DC5603" w:rsidRDefault="00FA33CF" w:rsidP="00F31FEA">
      <w:pPr>
        <w:spacing w:after="160" w:line="276" w:lineRule="auto"/>
        <w:ind w:left="510" w:right="510"/>
        <w:contextualSpacing/>
        <w:jc w:val="both"/>
        <w:rPr>
          <w:rFonts w:ascii="Arial" w:hAnsi="Arial" w:cs="Arial"/>
          <w:b/>
          <w:bCs/>
        </w:rPr>
      </w:pPr>
    </w:p>
    <w:p w:rsidR="00FA33CF"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The Tribunal has approved </w:t>
      </w:r>
      <w:r w:rsidR="00333CC6">
        <w:rPr>
          <w:rFonts w:ascii="Arial" w:hAnsi="Arial" w:cs="Arial"/>
          <w:lang w:val="en-GB"/>
        </w:rPr>
        <w:t xml:space="preserve">without conditions </w:t>
      </w:r>
      <w:r>
        <w:rPr>
          <w:rFonts w:ascii="Arial" w:hAnsi="Arial" w:cs="Arial"/>
          <w:lang w:val="en-GB"/>
        </w:rPr>
        <w:t xml:space="preserve">a </w:t>
      </w:r>
      <w:r w:rsidR="00FA33CF" w:rsidRPr="00DC5603">
        <w:rPr>
          <w:rFonts w:ascii="Arial" w:hAnsi="Arial" w:cs="Arial"/>
          <w:lang w:val="en-GB"/>
        </w:rPr>
        <w:t xml:space="preserve">large merger between </w:t>
      </w:r>
      <w:proofErr w:type="spellStart"/>
      <w:r w:rsidR="00FA33CF" w:rsidRPr="00DC5603">
        <w:rPr>
          <w:rFonts w:ascii="Arial" w:hAnsi="Arial" w:cs="Arial"/>
          <w:lang w:val="en-GB"/>
        </w:rPr>
        <w:t>Indluplace</w:t>
      </w:r>
      <w:proofErr w:type="spellEnd"/>
      <w:r w:rsidR="00FA33CF">
        <w:rPr>
          <w:rFonts w:ascii="Arial" w:hAnsi="Arial" w:cs="Arial"/>
          <w:lang w:val="en-GB"/>
        </w:rPr>
        <w:t xml:space="preserve"> Properties</w:t>
      </w:r>
      <w:r w:rsidR="00FA33CF" w:rsidRPr="00DC5603">
        <w:rPr>
          <w:rFonts w:ascii="Arial" w:hAnsi="Arial" w:cs="Arial"/>
          <w:lang w:val="en-GB"/>
        </w:rPr>
        <w:t xml:space="preserve"> (Pty) Ltd (</w:t>
      </w:r>
      <w:proofErr w:type="spellStart"/>
      <w:r w:rsidR="00FA33CF" w:rsidRPr="00DC5603">
        <w:rPr>
          <w:rFonts w:ascii="Arial" w:hAnsi="Arial" w:cs="Arial"/>
          <w:lang w:val="en-GB"/>
        </w:rPr>
        <w:t>Indluplace</w:t>
      </w:r>
      <w:proofErr w:type="spellEnd"/>
      <w:r w:rsidR="00FA33CF" w:rsidRPr="00DC5603">
        <w:rPr>
          <w:rFonts w:ascii="Arial" w:hAnsi="Arial" w:cs="Arial"/>
          <w:lang w:val="en-GB"/>
        </w:rPr>
        <w:t xml:space="preserve"> Properties) and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sidR="00FA33CF">
        <w:rPr>
          <w:rFonts w:ascii="Arial" w:hAnsi="Arial" w:cs="Arial"/>
          <w:lang w:val="en-GB"/>
        </w:rPr>
        <w:t>Limited</w:t>
      </w:r>
      <w:r w:rsidR="00FA33CF" w:rsidRPr="00DC5603">
        <w:rPr>
          <w:rFonts w:ascii="Arial" w:hAnsi="Arial" w:cs="Arial"/>
          <w:lang w:val="en-GB"/>
        </w:rPr>
        <w:t xml:space="preserve">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Pr>
          <w:rFonts w:ascii="Arial" w:hAnsi="Arial" w:cs="Arial"/>
          <w:lang w:val="en-GB"/>
        </w:rPr>
        <w:t xml:space="preserve">which is </w:t>
      </w:r>
      <w:r w:rsidR="00FA33CF" w:rsidRPr="00DC5603">
        <w:rPr>
          <w:rFonts w:ascii="Arial" w:hAnsi="Arial" w:cs="Arial"/>
          <w:lang w:val="en-GB"/>
        </w:rPr>
        <w:t>ultimately owned by Barclays Africa Group Limited.</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Indluplace</w:t>
      </w:r>
      <w:proofErr w:type="spellEnd"/>
      <w:r w:rsidRPr="00DC5603">
        <w:rPr>
          <w:rFonts w:ascii="Arial" w:hAnsi="Arial" w:cs="Arial"/>
          <w:lang w:val="en-GB"/>
        </w:rPr>
        <w:t xml:space="preserve"> Properties is a property investment company which holds a residential property</w:t>
      </w:r>
      <w:r>
        <w:rPr>
          <w:rFonts w:ascii="Arial" w:hAnsi="Arial" w:cs="Arial"/>
          <w:lang w:val="en-GB"/>
        </w:rPr>
        <w:t>.</w:t>
      </w:r>
      <w:r w:rsidR="00CF3A9F">
        <w:rPr>
          <w:rFonts w:ascii="Arial" w:hAnsi="Arial" w:cs="Arial"/>
          <w:lang w:val="en-GB"/>
        </w:rPr>
        <w:t xml:space="preserve"> </w:t>
      </w:r>
      <w:r w:rsidRPr="00DC5603">
        <w:rPr>
          <w:rFonts w:ascii="Arial" w:hAnsi="Arial" w:cs="Arial"/>
          <w:lang w:val="en-GB"/>
        </w:rPr>
        <w:t xml:space="preserve">It invests in residential properties with a focus on affordable housing generally in larger urban centres close to work opportunities and transport infrastructure in areas such as Johannesburg, Pretoria, Centurion and the East Rand. </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Diluculo</w:t>
      </w:r>
      <w:proofErr w:type="spellEnd"/>
      <w:r w:rsidRPr="00DC5603">
        <w:rPr>
          <w:rFonts w:ascii="Arial" w:hAnsi="Arial" w:cs="Arial"/>
          <w:lang w:val="en-GB"/>
        </w:rPr>
        <w:t xml:space="preserve"> Properties is a private company that conducts the business of investing in income producing, predominantly residential properties. </w:t>
      </w:r>
      <w:proofErr w:type="spellStart"/>
      <w:r w:rsidRPr="00DC5603">
        <w:rPr>
          <w:rFonts w:ascii="Arial" w:hAnsi="Arial" w:cs="Arial"/>
          <w:lang w:val="en-GB"/>
        </w:rPr>
        <w:t>Diluculo</w:t>
      </w:r>
      <w:proofErr w:type="spellEnd"/>
      <w:r w:rsidRPr="00DC5603">
        <w:rPr>
          <w:rFonts w:ascii="Arial" w:hAnsi="Arial" w:cs="Arial"/>
          <w:lang w:val="en-GB"/>
        </w:rPr>
        <w:t xml:space="preserve"> Properties owns residential property letting enterprises in the Gauteng and Free State Provinces.</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r w:rsidRPr="00DC5603">
        <w:rPr>
          <w:rFonts w:ascii="Arial" w:hAnsi="Arial" w:cs="Arial"/>
          <w:lang w:val="en-GB"/>
        </w:rPr>
        <w:t xml:space="preserve">The relevant market in this merger is </w:t>
      </w:r>
      <w:r w:rsidRPr="00DC5603">
        <w:rPr>
          <w:rFonts w:ascii="Arial" w:hAnsi="Arial" w:cs="Arial"/>
        </w:rPr>
        <w:t>the provision of rentable space in residential property in the Johannesburg CBD and surrounding nodes, Pretoria CBD and surrounding nodes, Centurion and Region A, Ekurhuleni.</w:t>
      </w:r>
    </w:p>
    <w:p w:rsidR="006D6D08" w:rsidRPr="00DC5603" w:rsidRDefault="006D6D08" w:rsidP="00F31FEA">
      <w:pPr>
        <w:spacing w:line="276" w:lineRule="auto"/>
        <w:ind w:left="510" w:right="510"/>
        <w:jc w:val="both"/>
        <w:rPr>
          <w:rFonts w:ascii="Arial" w:hAnsi="Arial" w:cs="Arial"/>
          <w:lang w:val="en-GB"/>
        </w:rPr>
      </w:pPr>
    </w:p>
    <w:p w:rsidR="006D6D08" w:rsidRPr="00DC5603" w:rsidRDefault="00333CC6"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Tribunal approves </w:t>
      </w:r>
      <w:r w:rsidR="00DC5603" w:rsidRPr="00DC5603">
        <w:rPr>
          <w:rFonts w:ascii="Arial" w:hAnsi="Arial" w:cs="Arial"/>
          <w:b/>
          <w:bCs/>
        </w:rPr>
        <w:t xml:space="preserve">Unilever SA </w:t>
      </w:r>
      <w:r>
        <w:rPr>
          <w:rFonts w:ascii="Arial" w:hAnsi="Arial" w:cs="Arial"/>
          <w:b/>
          <w:bCs/>
        </w:rPr>
        <w:t xml:space="preserve">and </w:t>
      </w:r>
      <w:r w:rsidR="006D6D08" w:rsidRPr="00DC5603">
        <w:rPr>
          <w:rFonts w:ascii="Arial" w:hAnsi="Arial" w:cs="Arial"/>
          <w:b/>
          <w:bCs/>
        </w:rPr>
        <w:t xml:space="preserve">Aconcagua 14 Investments (RF) (Pty) Ltd </w:t>
      </w:r>
      <w:r>
        <w:rPr>
          <w:rFonts w:ascii="Arial" w:hAnsi="Arial" w:cs="Arial"/>
          <w:b/>
          <w:bCs/>
        </w:rPr>
        <w:t>merger</w:t>
      </w:r>
    </w:p>
    <w:p w:rsidR="006D6D08" w:rsidRPr="00DC5603" w:rsidRDefault="006D6D08" w:rsidP="00F31FEA">
      <w:pPr>
        <w:spacing w:after="160" w:line="276" w:lineRule="auto"/>
        <w:ind w:left="510" w:right="510"/>
        <w:contextualSpacing/>
        <w:jc w:val="both"/>
        <w:rPr>
          <w:rFonts w:ascii="Arial" w:hAnsi="Arial" w:cs="Arial"/>
          <w:b/>
          <w:bCs/>
        </w:rPr>
      </w:pPr>
    </w:p>
    <w:p w:rsidR="006D6D08" w:rsidRPr="00DC5603" w:rsidRDefault="006D6D08" w:rsidP="00F31FEA">
      <w:pPr>
        <w:spacing w:line="276" w:lineRule="auto"/>
        <w:ind w:left="510" w:right="510"/>
        <w:jc w:val="both"/>
        <w:rPr>
          <w:rFonts w:ascii="Arial" w:hAnsi="Arial" w:cs="Arial"/>
          <w:lang w:val="en-GB"/>
        </w:rPr>
      </w:pPr>
      <w:r w:rsidRPr="00DC5603">
        <w:rPr>
          <w:rFonts w:ascii="Arial" w:hAnsi="Arial" w:cs="Arial"/>
          <w:lang w:val="en-GB"/>
        </w:rPr>
        <w:lastRenderedPageBreak/>
        <w:t xml:space="preserve">Unilever South Africa Proprietary Limited (ULSA) </w:t>
      </w:r>
      <w:r w:rsidR="00333CC6">
        <w:rPr>
          <w:rFonts w:ascii="Arial" w:hAnsi="Arial" w:cs="Arial"/>
          <w:lang w:val="en-GB"/>
        </w:rPr>
        <w:t xml:space="preserve">is to </w:t>
      </w:r>
      <w:r w:rsidRPr="00627BAB">
        <w:rPr>
          <w:rFonts w:ascii="Arial" w:hAnsi="Arial" w:cs="Arial"/>
          <w:lang w:val="en-GB"/>
        </w:rPr>
        <w:t>acquire</w:t>
      </w:r>
      <w:r w:rsidR="00F239B3" w:rsidRPr="00627BAB">
        <w:rPr>
          <w:rFonts w:ascii="Arial" w:hAnsi="Arial" w:cs="Arial"/>
          <w:lang w:val="en-GB"/>
        </w:rPr>
        <w:t xml:space="preserve"> </w:t>
      </w:r>
      <w:r w:rsidRPr="00DC5603">
        <w:rPr>
          <w:rFonts w:ascii="Arial" w:hAnsi="Arial" w:cs="Arial"/>
          <w:lang w:val="en-GB"/>
        </w:rPr>
        <w:t>Aconcagua 14 Investments (RF) (Pty) Ltd (Aconcagua).</w:t>
      </w:r>
    </w:p>
    <w:p w:rsidR="006D6D08" w:rsidRPr="00DC5603" w:rsidRDefault="006D6D08" w:rsidP="00F31FEA">
      <w:pPr>
        <w:spacing w:line="276" w:lineRule="auto"/>
        <w:ind w:left="510" w:right="510"/>
        <w:jc w:val="both"/>
        <w:rPr>
          <w:rFonts w:ascii="Arial" w:hAnsi="Arial" w:cs="Arial"/>
          <w:lang w:val="en-GB"/>
        </w:rPr>
      </w:pPr>
    </w:p>
    <w:p w:rsidR="0046478F"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ULSA is ultimately controlled by Unilever PLC. The Unilever Group is a global diversified fast-moving consumer goods company which owns </w:t>
      </w:r>
      <w:r w:rsidR="009555C2" w:rsidRPr="00DC5603">
        <w:rPr>
          <w:rFonts w:ascii="Arial" w:hAnsi="Arial" w:cs="Arial"/>
          <w:lang w:val="en-GB"/>
        </w:rPr>
        <w:t xml:space="preserve">well-known brands such as </w:t>
      </w:r>
      <w:proofErr w:type="spellStart"/>
      <w:r w:rsidR="0046478F" w:rsidRPr="00DC5603">
        <w:rPr>
          <w:rFonts w:ascii="Arial" w:hAnsi="Arial" w:cs="Arial"/>
          <w:lang w:val="en-GB"/>
        </w:rPr>
        <w:t>Omo</w:t>
      </w:r>
      <w:proofErr w:type="spellEnd"/>
      <w:r w:rsidR="0046478F" w:rsidRPr="00DC5603">
        <w:rPr>
          <w:rFonts w:ascii="Arial" w:hAnsi="Arial" w:cs="Arial"/>
          <w:lang w:val="en-GB"/>
        </w:rPr>
        <w:t xml:space="preserve"> and Sunlight. </w:t>
      </w:r>
      <w:r w:rsidRPr="00DC5603">
        <w:rPr>
          <w:rFonts w:ascii="Arial" w:hAnsi="Arial" w:cs="Arial"/>
          <w:lang w:val="en-GB"/>
        </w:rPr>
        <w:t>ULSA produces, processes, distributes and market</w:t>
      </w:r>
      <w:r w:rsidR="0046478F" w:rsidRPr="00DC5603">
        <w:rPr>
          <w:rFonts w:ascii="Arial" w:hAnsi="Arial" w:cs="Arial"/>
          <w:lang w:val="en-GB"/>
        </w:rPr>
        <w:t>s a wide range of products, such as</w:t>
      </w:r>
      <w:r w:rsidRPr="00DC5603">
        <w:rPr>
          <w:rFonts w:ascii="Arial" w:hAnsi="Arial" w:cs="Arial"/>
          <w:lang w:val="en-GB"/>
        </w:rPr>
        <w:t xml:space="preserve"> home, personal care and food products.</w:t>
      </w: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  </w:t>
      </w:r>
    </w:p>
    <w:p w:rsidR="0046478F" w:rsidRPr="00DC5603" w:rsidRDefault="006D6D08" w:rsidP="00F31FEA">
      <w:pPr>
        <w:autoSpaceDE w:val="0"/>
        <w:autoSpaceDN w:val="0"/>
        <w:spacing w:line="276" w:lineRule="auto"/>
        <w:ind w:left="510" w:right="510"/>
        <w:jc w:val="both"/>
        <w:rPr>
          <w:rFonts w:ascii="Arial" w:hAnsi="Arial" w:cs="Arial"/>
          <w:color w:val="000000"/>
          <w:lang w:val="en-GB"/>
        </w:rPr>
      </w:pPr>
      <w:r w:rsidRPr="00DC5603">
        <w:rPr>
          <w:rFonts w:ascii="Arial" w:hAnsi="Arial" w:cs="Arial"/>
          <w:lang w:val="en-GB"/>
        </w:rPr>
        <w:t xml:space="preserve">Aconcagua is ultimately controlled by MMI Holdings Limited. </w:t>
      </w:r>
      <w:r w:rsidRPr="00DC5603">
        <w:rPr>
          <w:rFonts w:ascii="Arial" w:hAnsi="Arial" w:cs="Arial"/>
          <w:color w:val="000000"/>
          <w:lang w:val="en-GB"/>
        </w:rPr>
        <w:t>Aconcagua owns and control the La Lucia Building. Its sole business is the leasing of the La Lucia Building</w:t>
      </w:r>
      <w:r w:rsidR="0046478F" w:rsidRPr="00DC5603">
        <w:rPr>
          <w:rFonts w:ascii="Arial" w:hAnsi="Arial" w:cs="Arial"/>
          <w:color w:val="000000"/>
          <w:lang w:val="en-GB"/>
        </w:rPr>
        <w:t xml:space="preserve">, situated in Durban, </w:t>
      </w:r>
      <w:r w:rsidRPr="00DC5603">
        <w:rPr>
          <w:rFonts w:ascii="Arial" w:hAnsi="Arial" w:cs="Arial"/>
          <w:color w:val="000000"/>
          <w:lang w:val="en-GB"/>
        </w:rPr>
        <w:t>to ULSA</w:t>
      </w:r>
      <w:r w:rsidR="0046478F" w:rsidRPr="00DC5603">
        <w:rPr>
          <w:rFonts w:ascii="Arial" w:hAnsi="Arial" w:cs="Arial"/>
          <w:color w:val="000000"/>
          <w:lang w:val="en-GB"/>
        </w:rPr>
        <w:t xml:space="preserve">, and the entire building is leased to </w:t>
      </w:r>
      <w:r w:rsidRPr="00DC5603">
        <w:rPr>
          <w:rFonts w:ascii="Arial" w:hAnsi="Arial" w:cs="Arial"/>
          <w:color w:val="000000"/>
          <w:lang w:val="en-GB"/>
        </w:rPr>
        <w:t xml:space="preserve">ULSA. </w:t>
      </w: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6D6D08" w:rsidRPr="00DC5603" w:rsidRDefault="006D6D08"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Business Venture</w:t>
      </w:r>
      <w:r w:rsidR="00851C8F">
        <w:rPr>
          <w:rFonts w:ascii="Arial" w:hAnsi="Arial" w:cs="Arial"/>
          <w:b/>
          <w:bCs/>
        </w:rPr>
        <w:t xml:space="preserve"> Investments No 1953 (Pty) Ltd and </w:t>
      </w:r>
      <w:proofErr w:type="spellStart"/>
      <w:r w:rsidR="00851C8F">
        <w:rPr>
          <w:rFonts w:ascii="Arial" w:hAnsi="Arial" w:cs="Arial"/>
          <w:b/>
          <w:bCs/>
        </w:rPr>
        <w:t>Afrit</w:t>
      </w:r>
      <w:proofErr w:type="spellEnd"/>
      <w:r w:rsidR="00851C8F">
        <w:rPr>
          <w:rFonts w:ascii="Arial" w:hAnsi="Arial" w:cs="Arial"/>
          <w:b/>
          <w:bCs/>
        </w:rPr>
        <w:t xml:space="preserve"> Group merger</w:t>
      </w:r>
      <w:r w:rsidR="00333CC6">
        <w:rPr>
          <w:rFonts w:ascii="Arial" w:hAnsi="Arial" w:cs="Arial"/>
          <w:b/>
          <w:bCs/>
        </w:rPr>
        <w:t xml:space="preserve"> approved</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Tribunal</w:t>
      </w:r>
      <w:r w:rsidR="00333CC6">
        <w:rPr>
          <w:rFonts w:ascii="Arial" w:hAnsi="Arial" w:cs="Arial"/>
          <w:lang w:val="en-GB"/>
        </w:rPr>
        <w:t xml:space="preserve"> has approved the </w:t>
      </w:r>
      <w:r w:rsidRPr="00DC5603">
        <w:rPr>
          <w:rFonts w:ascii="Arial" w:hAnsi="Arial" w:cs="Arial"/>
          <w:lang w:val="en-GB"/>
        </w:rPr>
        <w:t xml:space="preserve">large merger </w:t>
      </w:r>
      <w:r w:rsidR="0046478F" w:rsidRPr="00DC5603">
        <w:rPr>
          <w:rFonts w:ascii="Arial" w:hAnsi="Arial" w:cs="Arial"/>
          <w:lang w:val="en-GB"/>
        </w:rPr>
        <w:t xml:space="preserve">between </w:t>
      </w:r>
      <w:r w:rsidRPr="00DC5603">
        <w:rPr>
          <w:rFonts w:ascii="Arial" w:hAnsi="Arial" w:cs="Arial"/>
          <w:lang w:val="en-GB"/>
        </w:rPr>
        <w:t>Business Venture</w:t>
      </w:r>
      <w:r w:rsidR="00DC5603" w:rsidRPr="00DC5603">
        <w:rPr>
          <w:rFonts w:ascii="Arial" w:hAnsi="Arial" w:cs="Arial"/>
          <w:lang w:val="en-GB"/>
        </w:rPr>
        <w:t xml:space="preserve"> Investments No 1953 (Pty) Ltd - </w:t>
      </w:r>
      <w:r w:rsidR="0046478F" w:rsidRPr="00DC5603">
        <w:rPr>
          <w:rFonts w:ascii="Arial" w:hAnsi="Arial" w:cs="Arial"/>
          <w:lang w:val="en-GB"/>
        </w:rPr>
        <w:t>t</w:t>
      </w:r>
      <w:r w:rsidRPr="00DC5603">
        <w:rPr>
          <w:rFonts w:ascii="Arial" w:hAnsi="Arial" w:cs="Arial"/>
          <w:lang w:val="en-GB"/>
        </w:rPr>
        <w:t>o be renamed Industri</w:t>
      </w:r>
      <w:r w:rsidR="0046478F" w:rsidRPr="00DC5603">
        <w:rPr>
          <w:rFonts w:ascii="Arial" w:hAnsi="Arial" w:cs="Arial"/>
          <w:lang w:val="en-GB"/>
        </w:rPr>
        <w:t>al Services Holdings (</w:t>
      </w:r>
      <w:proofErr w:type="spellStart"/>
      <w:r w:rsidR="0046478F" w:rsidRPr="00DC5603">
        <w:rPr>
          <w:rFonts w:ascii="Arial" w:hAnsi="Arial" w:cs="Arial"/>
          <w:lang w:val="en-GB"/>
        </w:rPr>
        <w:t>InServe</w:t>
      </w:r>
      <w:proofErr w:type="spellEnd"/>
      <w:r w:rsidR="0046478F" w:rsidRPr="00DC5603">
        <w:rPr>
          <w:rFonts w:ascii="Arial" w:hAnsi="Arial" w:cs="Arial"/>
          <w:lang w:val="en-GB"/>
        </w:rPr>
        <w:t xml:space="preserve">) </w:t>
      </w:r>
      <w:r w:rsidR="00DC5603" w:rsidRPr="00DC5603">
        <w:rPr>
          <w:rFonts w:ascii="Arial" w:hAnsi="Arial" w:cs="Arial"/>
          <w:lang w:val="en-GB"/>
        </w:rPr>
        <w:t xml:space="preserve">- </w:t>
      </w:r>
      <w:r w:rsidR="0046478F" w:rsidRPr="00DC5603">
        <w:rPr>
          <w:rFonts w:ascii="Arial" w:hAnsi="Arial" w:cs="Arial"/>
          <w:lang w:val="en-GB"/>
        </w:rPr>
        <w:t xml:space="preserve">and </w:t>
      </w:r>
      <w:proofErr w:type="spellStart"/>
      <w:r w:rsidRPr="00DC5603">
        <w:rPr>
          <w:rFonts w:ascii="Arial" w:hAnsi="Arial" w:cs="Arial"/>
        </w:rPr>
        <w:t>Afrit</w:t>
      </w:r>
      <w:proofErr w:type="spellEnd"/>
      <w:r w:rsidRPr="00DC5603">
        <w:rPr>
          <w:rFonts w:ascii="Arial" w:hAnsi="Arial" w:cs="Arial"/>
        </w:rPr>
        <w:t xml:space="preserve"> Group (Pty) Ltd (</w:t>
      </w:r>
      <w:proofErr w:type="spellStart"/>
      <w:r w:rsidRPr="00DC5603">
        <w:rPr>
          <w:rFonts w:ascii="Arial" w:hAnsi="Arial" w:cs="Arial"/>
          <w:lang w:val="en-GB"/>
        </w:rPr>
        <w:t>Afrit</w:t>
      </w:r>
      <w:proofErr w:type="spellEnd"/>
      <w:r w:rsidRPr="00DC5603">
        <w:rPr>
          <w:rFonts w:ascii="Arial" w:hAnsi="Arial" w:cs="Arial"/>
          <w:lang w:val="en-GB"/>
        </w:rPr>
        <w:t>).</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US"/>
        </w:rPr>
        <w:t>InServe</w:t>
      </w:r>
      <w:proofErr w:type="spellEnd"/>
      <w:r w:rsidRPr="00DC5603">
        <w:rPr>
          <w:rFonts w:ascii="Arial" w:hAnsi="Arial" w:cs="Arial"/>
          <w:lang w:val="en-US"/>
        </w:rPr>
        <w:t xml:space="preserve"> supplies industrial equipment such as lifting equipment, compact construction equipment, industrial cleaning products and equipment, mobile cranes, scaffolding services and liquid fuel dispensing equipment. </w:t>
      </w: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GB"/>
        </w:rPr>
        <w:t>Afrit</w:t>
      </w:r>
      <w:proofErr w:type="spellEnd"/>
      <w:r w:rsidRPr="00DC5603">
        <w:rPr>
          <w:rFonts w:ascii="Arial" w:hAnsi="Arial" w:cs="Arial"/>
          <w:lang w:val="en-GB"/>
        </w:rPr>
        <w:t xml:space="preserve"> is involved in the manufacturing and supply of new and second hand trailers as well financing for trailers and rental of trailers.</w:t>
      </w:r>
    </w:p>
    <w:p w:rsidR="004F0C89" w:rsidRPr="00DC5603" w:rsidRDefault="004F0C89" w:rsidP="00F31FEA">
      <w:pPr>
        <w:spacing w:line="276" w:lineRule="auto"/>
        <w:ind w:left="510" w:right="510"/>
        <w:jc w:val="both"/>
        <w:rPr>
          <w:rFonts w:ascii="Arial" w:hAnsi="Arial" w:cs="Arial"/>
          <w:lang w:val="en-GB"/>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Issued by: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Chantelle Benjamin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Communications: Competition Tribunal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Tel (012)394 1383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Cell: +27 (0) 73 007 5603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Twitter: @comptrib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8" w:history="1">
        <w:r w:rsidRPr="00DC5603">
          <w:rPr>
            <w:rStyle w:val="Hyperlink"/>
            <w:rFonts w:ascii="Arial" w:hAnsi="Arial" w:cs="Arial"/>
            <w:lang w:eastAsia="en-ZA"/>
          </w:rPr>
          <w:t>chantelleb@comptrib.co.za</w:t>
        </w:r>
      </w:hyperlink>
      <w:r w:rsidRPr="00DC5603">
        <w:rPr>
          <w:rFonts w:ascii="Arial" w:hAnsi="Arial" w:cs="Arial"/>
        </w:rPr>
        <w:t xml:space="preserve"> </w:t>
      </w: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On Behalf Of:</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Lerato Motaung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Registrar: Competition Tribunal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Tel: (012) 394 3355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Cell: +27 (0) 82 556 3221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9" w:history="1">
        <w:r w:rsidRPr="00DC5603">
          <w:rPr>
            <w:rStyle w:val="Hyperlink"/>
            <w:rFonts w:ascii="Arial" w:hAnsi="Arial" w:cs="Arial"/>
            <w:lang w:eastAsia="en-ZA"/>
          </w:rPr>
          <w:t>LeratoM@comptrib.co.za</w:t>
        </w:r>
      </w:hyperlink>
    </w:p>
    <w:p w:rsidR="0046478F" w:rsidRDefault="0046478F" w:rsidP="006D6D08">
      <w:pPr>
        <w:spacing w:after="200"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spacing w:line="276" w:lineRule="auto"/>
        <w:jc w:val="both"/>
        <w:rPr>
          <w:rFonts w:ascii="Arial" w:hAnsi="Arial" w:cs="Arial"/>
          <w:lang w:val="en-GB"/>
        </w:rPr>
      </w:pPr>
    </w:p>
    <w:p w:rsidR="003B4A9F" w:rsidRDefault="003B4A9F"/>
    <w:p w:rsidR="00CF09CD" w:rsidRDefault="00CF09CD"/>
    <w:sectPr w:rsidR="00CF09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577" w:rsidRDefault="00641577" w:rsidP="009555C2">
      <w:r>
        <w:separator/>
      </w:r>
    </w:p>
  </w:endnote>
  <w:endnote w:type="continuationSeparator" w:id="0">
    <w:p w:rsidR="00641577" w:rsidRDefault="00641577" w:rsidP="0095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577" w:rsidRDefault="00641577" w:rsidP="009555C2">
      <w:r>
        <w:separator/>
      </w:r>
    </w:p>
  </w:footnote>
  <w:footnote w:type="continuationSeparator" w:id="0">
    <w:p w:rsidR="00641577" w:rsidRDefault="00641577" w:rsidP="0095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9F"/>
    <w:rsid w:val="0007289B"/>
    <w:rsid w:val="00333CC6"/>
    <w:rsid w:val="003B4A9F"/>
    <w:rsid w:val="003C165A"/>
    <w:rsid w:val="003C6622"/>
    <w:rsid w:val="0046478F"/>
    <w:rsid w:val="0047362C"/>
    <w:rsid w:val="00482491"/>
    <w:rsid w:val="004E3EE0"/>
    <w:rsid w:val="004F0C89"/>
    <w:rsid w:val="00520368"/>
    <w:rsid w:val="00627BAB"/>
    <w:rsid w:val="00641577"/>
    <w:rsid w:val="006D6D08"/>
    <w:rsid w:val="00851C8F"/>
    <w:rsid w:val="00873AA7"/>
    <w:rsid w:val="008C39ED"/>
    <w:rsid w:val="009555C2"/>
    <w:rsid w:val="00A775D8"/>
    <w:rsid w:val="00A832CE"/>
    <w:rsid w:val="00AB3E6A"/>
    <w:rsid w:val="00C25E86"/>
    <w:rsid w:val="00CF09CD"/>
    <w:rsid w:val="00CF3A9F"/>
    <w:rsid w:val="00DC5603"/>
    <w:rsid w:val="00E3747F"/>
    <w:rsid w:val="00F239B3"/>
    <w:rsid w:val="00F31FEA"/>
    <w:rsid w:val="00FA33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E6646-81DA-448F-8367-ACB63BA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89B"/>
    <w:rPr>
      <w:color w:val="0000FF"/>
      <w:u w:val="single"/>
    </w:rPr>
  </w:style>
  <w:style w:type="paragraph" w:styleId="FootnoteText">
    <w:name w:val="footnote text"/>
    <w:basedOn w:val="Normal"/>
    <w:link w:val="FootnoteTextChar"/>
    <w:uiPriority w:val="99"/>
    <w:semiHidden/>
    <w:unhideWhenUsed/>
    <w:rsid w:val="009555C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55C2"/>
    <w:rPr>
      <w:sz w:val="20"/>
      <w:szCs w:val="20"/>
    </w:rPr>
  </w:style>
  <w:style w:type="character" w:styleId="FootnoteReference">
    <w:name w:val="footnote reference"/>
    <w:basedOn w:val="DefaultParagraphFont"/>
    <w:uiPriority w:val="99"/>
    <w:semiHidden/>
    <w:unhideWhenUsed/>
    <w:rsid w:val="009555C2"/>
    <w:rPr>
      <w:vertAlign w:val="superscript"/>
    </w:rPr>
  </w:style>
  <w:style w:type="paragraph" w:styleId="BalloonText">
    <w:name w:val="Balloon Text"/>
    <w:basedOn w:val="Normal"/>
    <w:link w:val="BalloonTextChar"/>
    <w:uiPriority w:val="99"/>
    <w:semiHidden/>
    <w:unhideWhenUsed/>
    <w:rsid w:val="00A83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170218">
      <w:bodyDiv w:val="1"/>
      <w:marLeft w:val="0"/>
      <w:marRight w:val="0"/>
      <w:marTop w:val="0"/>
      <w:marBottom w:val="0"/>
      <w:divBdr>
        <w:top w:val="none" w:sz="0" w:space="0" w:color="auto"/>
        <w:left w:val="none" w:sz="0" w:space="0" w:color="auto"/>
        <w:bottom w:val="none" w:sz="0" w:space="0" w:color="auto"/>
        <w:right w:val="none" w:sz="0" w:space="0" w:color="auto"/>
      </w:divBdr>
    </w:div>
    <w:div w:id="827791454">
      <w:bodyDiv w:val="1"/>
      <w:marLeft w:val="0"/>
      <w:marRight w:val="0"/>
      <w:marTop w:val="0"/>
      <w:marBottom w:val="0"/>
      <w:divBdr>
        <w:top w:val="none" w:sz="0" w:space="0" w:color="auto"/>
        <w:left w:val="none" w:sz="0" w:space="0" w:color="auto"/>
        <w:bottom w:val="none" w:sz="0" w:space="0" w:color="auto"/>
        <w:right w:val="none" w:sz="0" w:space="0" w:color="auto"/>
      </w:divBdr>
    </w:div>
    <w:div w:id="1113792330">
      <w:bodyDiv w:val="1"/>
      <w:marLeft w:val="0"/>
      <w:marRight w:val="0"/>
      <w:marTop w:val="0"/>
      <w:marBottom w:val="0"/>
      <w:divBdr>
        <w:top w:val="none" w:sz="0" w:space="0" w:color="auto"/>
        <w:left w:val="none" w:sz="0" w:space="0" w:color="auto"/>
        <w:bottom w:val="none" w:sz="0" w:space="0" w:color="auto"/>
        <w:right w:val="none" w:sz="0" w:space="0" w:color="auto"/>
      </w:divBdr>
    </w:div>
    <w:div w:id="1143044412">
      <w:bodyDiv w:val="1"/>
      <w:marLeft w:val="0"/>
      <w:marRight w:val="0"/>
      <w:marTop w:val="0"/>
      <w:marBottom w:val="0"/>
      <w:divBdr>
        <w:top w:val="none" w:sz="0" w:space="0" w:color="auto"/>
        <w:left w:val="none" w:sz="0" w:space="0" w:color="auto"/>
        <w:bottom w:val="none" w:sz="0" w:space="0" w:color="auto"/>
        <w:right w:val="none" w:sz="0" w:space="0" w:color="auto"/>
      </w:divBdr>
    </w:div>
    <w:div w:id="1626807670">
      <w:bodyDiv w:val="1"/>
      <w:marLeft w:val="0"/>
      <w:marRight w:val="0"/>
      <w:marTop w:val="0"/>
      <w:marBottom w:val="0"/>
      <w:divBdr>
        <w:top w:val="none" w:sz="0" w:space="0" w:color="auto"/>
        <w:left w:val="none" w:sz="0" w:space="0" w:color="auto"/>
        <w:bottom w:val="none" w:sz="0" w:space="0" w:color="auto"/>
        <w:right w:val="none" w:sz="0" w:space="0" w:color="auto"/>
      </w:divBdr>
    </w:div>
    <w:div w:id="19934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2019-04-24T17:21:00Z</dcterms:created>
  <dcterms:modified xsi:type="dcterms:W3CDTF">2019-04-24T17:21:00Z</dcterms:modified>
</cp:coreProperties>
</file>