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4FC4" w14:textId="77777777" w:rsidR="00BC10DB" w:rsidRDefault="00BC10DB" w:rsidP="00BC10DB">
      <w:pPr>
        <w:pStyle w:val="NormalWeb"/>
        <w:shd w:val="clear" w:color="auto" w:fill="FFFFFF"/>
        <w:spacing w:before="0" w:beforeAutospacing="0" w:after="225" w:afterAutospacing="0" w:line="336" w:lineRule="atLeast"/>
        <w:jc w:val="center"/>
        <w:rPr>
          <w:rFonts w:asciiTheme="minorHAnsi" w:hAnsiTheme="minorHAnsi" w:cs="Arial"/>
          <w:b/>
          <w:color w:val="444444"/>
          <w:sz w:val="28"/>
          <w:szCs w:val="28"/>
        </w:rPr>
      </w:pPr>
      <w:bookmarkStart w:id="0" w:name="_GoBack"/>
      <w:bookmarkEnd w:id="0"/>
      <w:r>
        <w:rPr>
          <w:rFonts w:ascii="Arial" w:hAnsi="Arial" w:cs="Arial"/>
          <w:b/>
          <w:noProof/>
        </w:rPr>
        <w:drawing>
          <wp:inline distT="0" distB="0" distL="0" distR="0" wp14:anchorId="5543A743" wp14:editId="1F749EFE">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3B91F988" w14:textId="77777777" w:rsidR="00BC10DB" w:rsidRDefault="00BC10DB" w:rsidP="00BC10DB">
      <w:pPr>
        <w:pStyle w:val="NormalWeb"/>
        <w:shd w:val="clear" w:color="auto" w:fill="FFFFFF"/>
        <w:spacing w:before="0" w:beforeAutospacing="0" w:after="225" w:afterAutospacing="0" w:line="336" w:lineRule="atLeast"/>
        <w:jc w:val="right"/>
        <w:rPr>
          <w:rFonts w:asciiTheme="minorHAnsi" w:hAnsiTheme="minorHAnsi" w:cs="Arial"/>
          <w:b/>
          <w:color w:val="444444"/>
          <w:sz w:val="28"/>
          <w:szCs w:val="28"/>
        </w:rPr>
      </w:pPr>
      <w:r>
        <w:rPr>
          <w:rFonts w:asciiTheme="minorHAnsi" w:hAnsiTheme="minorHAnsi" w:cs="Arial"/>
          <w:b/>
          <w:color w:val="444444"/>
          <w:sz w:val="28"/>
          <w:szCs w:val="28"/>
        </w:rPr>
        <w:t>16 March, 2016</w:t>
      </w:r>
    </w:p>
    <w:p w14:paraId="6A1E9C63" w14:textId="77777777" w:rsidR="00BC10DB" w:rsidRDefault="00BC10DB" w:rsidP="00BC10DB">
      <w:pPr>
        <w:pStyle w:val="NormalWeb"/>
        <w:shd w:val="clear" w:color="auto" w:fill="FFFFFF"/>
        <w:spacing w:before="0" w:beforeAutospacing="0" w:after="225" w:afterAutospacing="0" w:line="336" w:lineRule="atLeast"/>
        <w:rPr>
          <w:rFonts w:asciiTheme="minorHAnsi" w:hAnsiTheme="minorHAnsi" w:cs="Arial"/>
          <w:b/>
          <w:color w:val="444444"/>
          <w:sz w:val="28"/>
          <w:szCs w:val="28"/>
        </w:rPr>
      </w:pPr>
      <w:r w:rsidRPr="009F368B">
        <w:rPr>
          <w:rFonts w:asciiTheme="minorHAnsi" w:hAnsiTheme="minorHAnsi" w:cs="Arial"/>
          <w:b/>
          <w:color w:val="444444"/>
          <w:sz w:val="28"/>
          <w:szCs w:val="28"/>
        </w:rPr>
        <w:t>Sibanye</w:t>
      </w:r>
      <w:r>
        <w:rPr>
          <w:rFonts w:asciiTheme="minorHAnsi" w:hAnsiTheme="minorHAnsi" w:cs="Arial"/>
          <w:b/>
          <w:color w:val="444444"/>
          <w:sz w:val="28"/>
          <w:szCs w:val="28"/>
        </w:rPr>
        <w:t xml:space="preserve"> merger with </w:t>
      </w:r>
      <w:r w:rsidRPr="009F368B">
        <w:rPr>
          <w:rFonts w:asciiTheme="minorHAnsi" w:hAnsiTheme="minorHAnsi" w:cs="Arial"/>
          <w:b/>
          <w:color w:val="444444"/>
          <w:sz w:val="28"/>
          <w:szCs w:val="28"/>
        </w:rPr>
        <w:t xml:space="preserve">Aquarius Platinum and Rustenburg Platinum mines </w:t>
      </w:r>
      <w:r>
        <w:rPr>
          <w:rFonts w:asciiTheme="minorHAnsi" w:hAnsiTheme="minorHAnsi" w:cs="Arial"/>
          <w:b/>
          <w:color w:val="444444"/>
          <w:sz w:val="28"/>
          <w:szCs w:val="28"/>
        </w:rPr>
        <w:t>approved</w:t>
      </w:r>
    </w:p>
    <w:p w14:paraId="336274D5" w14:textId="77777777" w:rsidR="00BC10DB" w:rsidRPr="00B772C9"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 xml:space="preserve">The Competition Tribunal has approved the merger of Sibanye Rustenburg Platinum Mines Proprietary Ltd and the Rustenburg Mines, as well as that of Sibanye Platinum Bermuda Proprietary Limited and Aquarius Platinum Limited, both are subject to certain conditions. </w:t>
      </w:r>
      <w:r w:rsidR="00A30CC4">
        <w:rPr>
          <w:rFonts w:asciiTheme="minorHAnsi" w:hAnsiTheme="minorHAnsi" w:cs="Arial"/>
          <w:color w:val="444444"/>
          <w:sz w:val="22"/>
          <w:szCs w:val="22"/>
        </w:rPr>
        <w:t xml:space="preserve">The matter was heard on Monday, 14 March. </w:t>
      </w:r>
    </w:p>
    <w:p w14:paraId="6328D450" w14:textId="77777777" w:rsidR="00BC10DB" w:rsidRPr="00B772C9"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 xml:space="preserve">In the case of Sibanye’s merger with Rustenburg Platinum mines that retrenchments are limited to those identified, which are expected to be about 250 staff. In the event that the potential consolidation does occur in 24 months following the implementation date, any retrenchments as a result of the consolidation shall be limited to 260 employees. </w:t>
      </w:r>
    </w:p>
    <w:p w14:paraId="3065DF19" w14:textId="77777777" w:rsidR="00BC10DB" w:rsidRPr="00B772C9"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In the case of Sibanye’s merger with Aquarius only 14 retrenchments are expected, and the conditions stipulate that no further employees can be retrenched. In the event that potential consolidation does occur with 24 months following the Rustenburg Mines Implementation Date, retrenchments are again limited to employees lost as a result of the consolidation.</w:t>
      </w:r>
    </w:p>
    <w:p w14:paraId="4F2C9A59" w14:textId="77777777" w:rsidR="00BC10DB"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The merging parties in both cases agreed that their Black Economic Empowerment</w:t>
      </w:r>
      <w:r w:rsidR="00D54D1A" w:rsidRPr="00B772C9">
        <w:rPr>
          <w:rFonts w:asciiTheme="minorHAnsi" w:hAnsiTheme="minorHAnsi" w:cs="Arial"/>
          <w:color w:val="444444"/>
          <w:sz w:val="22"/>
          <w:szCs w:val="22"/>
        </w:rPr>
        <w:t xml:space="preserve"> (BEE)</w:t>
      </w:r>
      <w:r w:rsidRPr="00B772C9">
        <w:rPr>
          <w:rFonts w:asciiTheme="minorHAnsi" w:hAnsiTheme="minorHAnsi" w:cs="Arial"/>
          <w:color w:val="444444"/>
          <w:sz w:val="22"/>
          <w:szCs w:val="22"/>
        </w:rPr>
        <w:t xml:space="preserve"> policy would comply with the Mining Charter. </w:t>
      </w:r>
    </w:p>
    <w:p w14:paraId="7D2A211E" w14:textId="77777777" w:rsidR="00A30CC4" w:rsidRDefault="00A30CC4" w:rsidP="00A30CC4">
      <w:pPr>
        <w:pStyle w:val="NormalWeb"/>
        <w:shd w:val="clear" w:color="auto" w:fill="FFFFFF"/>
        <w:spacing w:before="0" w:beforeAutospacing="0" w:after="225" w:afterAutospacing="0" w:line="336" w:lineRule="atLeast"/>
        <w:rPr>
          <w:rFonts w:asciiTheme="minorHAnsi" w:hAnsiTheme="minorHAnsi" w:cs="Arial"/>
          <w:sz w:val="22"/>
          <w:szCs w:val="22"/>
        </w:rPr>
      </w:pPr>
      <w:r w:rsidRPr="009F368B">
        <w:rPr>
          <w:rFonts w:asciiTheme="minorHAnsi" w:hAnsiTheme="minorHAnsi" w:cs="Arial"/>
          <w:color w:val="444444"/>
          <w:sz w:val="22"/>
          <w:szCs w:val="22"/>
        </w:rPr>
        <w:t>Sibanye</w:t>
      </w:r>
      <w:r>
        <w:rPr>
          <w:rFonts w:asciiTheme="minorHAnsi" w:hAnsiTheme="minorHAnsi" w:cs="Arial"/>
          <w:color w:val="444444"/>
          <w:sz w:val="22"/>
          <w:szCs w:val="22"/>
        </w:rPr>
        <w:t xml:space="preserve"> Platinum Bermuda</w:t>
      </w:r>
      <w:r w:rsidRPr="009F368B">
        <w:rPr>
          <w:rFonts w:asciiTheme="minorHAnsi" w:hAnsiTheme="minorHAnsi" w:cs="Arial"/>
          <w:color w:val="444444"/>
          <w:sz w:val="22"/>
          <w:szCs w:val="22"/>
        </w:rPr>
        <w:t xml:space="preserve"> will acquire 100% of Aquarius, while</w:t>
      </w:r>
      <w:r>
        <w:rPr>
          <w:rFonts w:asciiTheme="minorHAnsi" w:hAnsiTheme="minorHAnsi" w:cs="Arial"/>
          <w:color w:val="444444"/>
          <w:sz w:val="22"/>
          <w:szCs w:val="22"/>
        </w:rPr>
        <w:t xml:space="preserve"> Sibanye Rustenburg Platinum </w:t>
      </w:r>
      <w:proofErr w:type="gramStart"/>
      <w:r>
        <w:rPr>
          <w:rFonts w:asciiTheme="minorHAnsi" w:hAnsiTheme="minorHAnsi" w:cs="Arial"/>
          <w:color w:val="444444"/>
          <w:sz w:val="22"/>
          <w:szCs w:val="22"/>
        </w:rPr>
        <w:t>Mines  will</w:t>
      </w:r>
      <w:proofErr w:type="gramEnd"/>
      <w:r>
        <w:rPr>
          <w:rFonts w:asciiTheme="minorHAnsi" w:hAnsiTheme="minorHAnsi" w:cs="Arial"/>
          <w:color w:val="444444"/>
          <w:sz w:val="22"/>
          <w:szCs w:val="22"/>
        </w:rPr>
        <w:t xml:space="preserve"> acquire </w:t>
      </w:r>
      <w:r w:rsidRPr="009F368B">
        <w:rPr>
          <w:rFonts w:asciiTheme="minorHAnsi" w:hAnsiTheme="minorHAnsi"/>
          <w:color w:val="444444"/>
          <w:sz w:val="22"/>
          <w:szCs w:val="22"/>
          <w:shd w:val="clear" w:color="auto" w:fill="FFFFFF"/>
        </w:rPr>
        <w:t>Rustenburg’s three mines and concentrators. It</w:t>
      </w:r>
      <w:r>
        <w:rPr>
          <w:rFonts w:asciiTheme="minorHAnsi" w:hAnsiTheme="minorHAnsi"/>
          <w:color w:val="444444"/>
          <w:sz w:val="22"/>
          <w:szCs w:val="22"/>
          <w:shd w:val="clear" w:color="auto" w:fill="FFFFFF"/>
        </w:rPr>
        <w:t>’</w:t>
      </w:r>
      <w:r w:rsidRPr="009F368B">
        <w:rPr>
          <w:rFonts w:asciiTheme="minorHAnsi" w:hAnsiTheme="minorHAnsi"/>
          <w:color w:val="444444"/>
          <w:sz w:val="22"/>
          <w:szCs w:val="22"/>
          <w:shd w:val="clear" w:color="auto" w:fill="FFFFFF"/>
        </w:rPr>
        <w:t>s</w:t>
      </w:r>
      <w:r>
        <w:rPr>
          <w:rFonts w:asciiTheme="minorHAnsi" w:hAnsiTheme="minorHAnsi"/>
          <w:color w:val="444444"/>
          <w:sz w:val="22"/>
          <w:szCs w:val="22"/>
          <w:shd w:val="clear" w:color="auto" w:fill="FFFFFF"/>
        </w:rPr>
        <w:t xml:space="preserve"> was</w:t>
      </w:r>
      <w:r w:rsidRPr="009F368B">
        <w:rPr>
          <w:rFonts w:asciiTheme="minorHAnsi" w:hAnsiTheme="minorHAnsi"/>
          <w:color w:val="444444"/>
          <w:sz w:val="22"/>
          <w:szCs w:val="22"/>
          <w:shd w:val="clear" w:color="auto" w:fill="FFFFFF"/>
        </w:rPr>
        <w:t xml:space="preserve"> </w:t>
      </w:r>
      <w:r>
        <w:rPr>
          <w:rFonts w:asciiTheme="minorHAnsi" w:hAnsiTheme="minorHAnsi"/>
          <w:color w:val="444444"/>
          <w:sz w:val="22"/>
          <w:szCs w:val="22"/>
          <w:shd w:val="clear" w:color="auto" w:fill="FFFFFF"/>
        </w:rPr>
        <w:t xml:space="preserve">estimated </w:t>
      </w:r>
      <w:r w:rsidRPr="009F368B">
        <w:rPr>
          <w:rFonts w:asciiTheme="minorHAnsi" w:hAnsiTheme="minorHAnsi" w:cs="Arial"/>
          <w:sz w:val="22"/>
          <w:szCs w:val="22"/>
        </w:rPr>
        <w:t>that</w:t>
      </w:r>
      <w:r>
        <w:rPr>
          <w:rFonts w:asciiTheme="minorHAnsi" w:hAnsiTheme="minorHAnsi" w:cs="Arial"/>
          <w:sz w:val="22"/>
          <w:szCs w:val="22"/>
        </w:rPr>
        <w:t xml:space="preserve"> the</w:t>
      </w:r>
      <w:r w:rsidRPr="009F368B">
        <w:rPr>
          <w:rFonts w:asciiTheme="minorHAnsi" w:hAnsiTheme="minorHAnsi" w:cs="Arial"/>
          <w:sz w:val="22"/>
          <w:szCs w:val="22"/>
        </w:rPr>
        <w:t xml:space="preserve"> 250 jobs would be lost at Rustenburg mines </w:t>
      </w:r>
      <w:proofErr w:type="spellStart"/>
      <w:r w:rsidRPr="009F368B">
        <w:rPr>
          <w:rFonts w:asciiTheme="minorHAnsi" w:hAnsiTheme="minorHAnsi" w:cs="Arial"/>
          <w:sz w:val="22"/>
          <w:szCs w:val="22"/>
        </w:rPr>
        <w:t>Kroondaal</w:t>
      </w:r>
      <w:proofErr w:type="spellEnd"/>
      <w:r w:rsidRPr="009F368B">
        <w:rPr>
          <w:rFonts w:asciiTheme="minorHAnsi" w:hAnsiTheme="minorHAnsi" w:cs="Arial"/>
          <w:sz w:val="22"/>
          <w:szCs w:val="22"/>
        </w:rPr>
        <w:t xml:space="preserve"> operation and the </w:t>
      </w:r>
      <w:proofErr w:type="spellStart"/>
      <w:r w:rsidRPr="009F368B">
        <w:rPr>
          <w:rFonts w:asciiTheme="minorHAnsi" w:hAnsiTheme="minorHAnsi" w:cs="Arial"/>
          <w:sz w:val="22"/>
          <w:szCs w:val="22"/>
        </w:rPr>
        <w:t>Bathopele</w:t>
      </w:r>
      <w:proofErr w:type="spellEnd"/>
      <w:r w:rsidRPr="009F368B">
        <w:rPr>
          <w:rFonts w:asciiTheme="minorHAnsi" w:hAnsiTheme="minorHAnsi" w:cs="Arial"/>
          <w:sz w:val="22"/>
          <w:szCs w:val="22"/>
        </w:rPr>
        <w:t xml:space="preserve"> Mine. </w:t>
      </w:r>
      <w:r>
        <w:rPr>
          <w:rFonts w:asciiTheme="minorHAnsi" w:hAnsiTheme="minorHAnsi" w:cs="Arial"/>
          <w:sz w:val="22"/>
          <w:szCs w:val="22"/>
        </w:rPr>
        <w:t xml:space="preserve">The new Aquarius and Sibanye entity will be called </w:t>
      </w:r>
      <w:proofErr w:type="spellStart"/>
      <w:r>
        <w:rPr>
          <w:rFonts w:asciiTheme="minorHAnsi" w:hAnsiTheme="minorHAnsi" w:cs="Arial"/>
          <w:sz w:val="22"/>
          <w:szCs w:val="22"/>
        </w:rPr>
        <w:t>BidCo</w:t>
      </w:r>
      <w:proofErr w:type="spellEnd"/>
      <w:r>
        <w:rPr>
          <w:rFonts w:asciiTheme="minorHAnsi" w:hAnsiTheme="minorHAnsi" w:cs="Arial"/>
          <w:sz w:val="22"/>
          <w:szCs w:val="22"/>
        </w:rPr>
        <w:t xml:space="preserve">, and the other entity Sibanye Rustenburg. </w:t>
      </w:r>
    </w:p>
    <w:p w14:paraId="54458577" w14:textId="77777777" w:rsidR="00A30CC4" w:rsidRDefault="00A30CC4" w:rsidP="00A30CC4">
      <w:pPr>
        <w:pStyle w:val="NormalWeb"/>
        <w:shd w:val="clear" w:color="auto" w:fill="FFFFFF"/>
        <w:spacing w:before="0" w:beforeAutospacing="0" w:after="225" w:afterAutospacing="0" w:line="336" w:lineRule="atLeast"/>
        <w:rPr>
          <w:rFonts w:asciiTheme="minorHAnsi" w:hAnsiTheme="minorHAnsi" w:cs="Arial"/>
          <w:sz w:val="22"/>
          <w:szCs w:val="22"/>
        </w:rPr>
      </w:pPr>
      <w:r>
        <w:rPr>
          <w:rFonts w:asciiTheme="minorHAnsi" w:hAnsiTheme="minorHAnsi" w:cs="Arial"/>
          <w:sz w:val="22"/>
          <w:szCs w:val="22"/>
        </w:rPr>
        <w:t xml:space="preserve">The Competition Commission raised concerns about the effect of possible jobs losses, </w:t>
      </w:r>
      <w:r w:rsidR="004E5F46">
        <w:rPr>
          <w:rFonts w:asciiTheme="minorHAnsi" w:hAnsiTheme="minorHAnsi" w:cs="Arial"/>
          <w:sz w:val="22"/>
          <w:szCs w:val="22"/>
        </w:rPr>
        <w:t xml:space="preserve">that </w:t>
      </w:r>
      <w:r>
        <w:rPr>
          <w:rFonts w:asciiTheme="minorHAnsi" w:hAnsiTheme="minorHAnsi" w:cs="Arial"/>
          <w:sz w:val="22"/>
          <w:szCs w:val="22"/>
        </w:rPr>
        <w:t xml:space="preserve">was addressed in the conditions set down. </w:t>
      </w:r>
    </w:p>
    <w:p w14:paraId="0A1E12F4" w14:textId="77777777" w:rsidR="00A30CC4" w:rsidRDefault="00A30CC4"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p>
    <w:p w14:paraId="3EC9E39F" w14:textId="77777777" w:rsidR="00BC10DB" w:rsidRPr="00E02933" w:rsidRDefault="00BC10DB" w:rsidP="00BC10DB">
      <w:pPr>
        <w:spacing w:after="0" w:line="240" w:lineRule="auto"/>
        <w:jc w:val="both"/>
        <w:rPr>
          <w:rFonts w:ascii="Arial" w:hAnsi="Arial" w:cs="Arial"/>
          <w:lang w:eastAsia="en-ZA"/>
        </w:rPr>
      </w:pPr>
      <w:r>
        <w:rPr>
          <w:rFonts w:ascii="Arial" w:hAnsi="Arial" w:cs="Arial"/>
          <w:color w:val="000000"/>
          <w:lang w:eastAsia="en-ZA"/>
        </w:rPr>
        <w:t xml:space="preserve">Issued by: </w:t>
      </w:r>
    </w:p>
    <w:p w14:paraId="622E2174" w14:textId="77777777" w:rsidR="00BC10DB"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14:paraId="1EC63F0D" w14:textId="77777777" w:rsidR="00BC10DB"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14:paraId="366D9C62" w14:textId="77777777" w:rsidR="00BC10DB" w:rsidRPr="00E02933"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14:paraId="26151A18" w14:textId="77777777" w:rsidR="00B772C9"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Cell: +27 (0) 73 007 5603</w:t>
      </w:r>
      <w:r w:rsidRPr="00E02933">
        <w:rPr>
          <w:rFonts w:ascii="Arial" w:hAnsi="Arial" w:cs="Arial"/>
          <w:color w:val="000000"/>
          <w:lang w:eastAsia="en-ZA"/>
        </w:rPr>
        <w:t>   </w:t>
      </w:r>
    </w:p>
    <w:p w14:paraId="1296D0EE" w14:textId="77777777" w:rsidR="00BC10DB" w:rsidRPr="00E02933" w:rsidRDefault="00B772C9" w:rsidP="00BC10DB">
      <w:pPr>
        <w:spacing w:after="0" w:line="240" w:lineRule="auto"/>
        <w:jc w:val="both"/>
        <w:rPr>
          <w:rFonts w:ascii="Arial" w:hAnsi="Arial" w:cs="Arial"/>
          <w:lang w:eastAsia="en-ZA"/>
        </w:rPr>
      </w:pPr>
      <w:r>
        <w:rPr>
          <w:rFonts w:ascii="Arial" w:hAnsi="Arial" w:cs="Arial"/>
          <w:color w:val="000000"/>
          <w:lang w:eastAsia="en-ZA"/>
        </w:rPr>
        <w:lastRenderedPageBreak/>
        <w:t>Twitter:@comptrib</w:t>
      </w:r>
      <w:r w:rsidR="00BC10DB" w:rsidRPr="00E02933">
        <w:rPr>
          <w:rFonts w:ascii="Arial" w:hAnsi="Arial" w:cs="Arial"/>
          <w:color w:val="000000"/>
          <w:lang w:eastAsia="en-ZA"/>
        </w:rPr>
        <w:t xml:space="preserve">                                       </w:t>
      </w:r>
    </w:p>
    <w:p w14:paraId="3ED9F581" w14:textId="77777777" w:rsidR="00BC10DB" w:rsidRPr="00E02933" w:rsidRDefault="00BC10DB" w:rsidP="00BC10DB">
      <w:pPr>
        <w:spacing w:after="0" w:line="240" w:lineRule="auto"/>
        <w:jc w:val="both"/>
        <w:rPr>
          <w:rFonts w:ascii="Arial" w:hAnsi="Arial" w:cs="Arial"/>
        </w:rPr>
      </w:pPr>
      <w:r w:rsidRPr="00E02933">
        <w:rPr>
          <w:rFonts w:ascii="Arial" w:hAnsi="Arial" w:cs="Arial"/>
          <w:color w:val="000000"/>
          <w:lang w:eastAsia="en-ZA"/>
        </w:rPr>
        <w:t xml:space="preserve">E-Mail: </w:t>
      </w:r>
      <w:hyperlink r:id="rId5" w:history="1">
        <w:r w:rsidRPr="00E02933">
          <w:rPr>
            <w:rStyle w:val="Hyperlink"/>
            <w:rFonts w:ascii="Arial" w:hAnsi="Arial" w:cs="Arial"/>
            <w:lang w:eastAsia="en-ZA"/>
          </w:rPr>
          <w:t>chantelleb@comptrib.co.za</w:t>
        </w:r>
      </w:hyperlink>
      <w:r w:rsidRPr="00E02933">
        <w:rPr>
          <w:rFonts w:ascii="Arial" w:hAnsi="Arial" w:cs="Arial"/>
        </w:rPr>
        <w:t xml:space="preserve"> </w:t>
      </w:r>
    </w:p>
    <w:p w14:paraId="4AAC34CC" w14:textId="77777777" w:rsidR="00BC10DB" w:rsidRPr="00E02933" w:rsidRDefault="00BC10DB" w:rsidP="00BC10DB">
      <w:pPr>
        <w:spacing w:after="0" w:line="240" w:lineRule="auto"/>
        <w:jc w:val="both"/>
        <w:rPr>
          <w:rFonts w:ascii="Arial" w:hAnsi="Arial" w:cs="Arial"/>
          <w:color w:val="000000"/>
        </w:rPr>
      </w:pPr>
    </w:p>
    <w:p w14:paraId="4B725545" w14:textId="77777777" w:rsidR="00BC10DB" w:rsidRPr="00E02933" w:rsidRDefault="00BC10DB" w:rsidP="00BC10DB">
      <w:pPr>
        <w:spacing w:after="0" w:line="240" w:lineRule="auto"/>
        <w:jc w:val="both"/>
        <w:rPr>
          <w:rFonts w:ascii="Arial" w:hAnsi="Arial" w:cs="Arial"/>
          <w:color w:val="000000"/>
        </w:rPr>
      </w:pPr>
    </w:p>
    <w:p w14:paraId="7C3E05C4"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On Behalf Of:</w:t>
      </w:r>
    </w:p>
    <w:p w14:paraId="727017E7"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Lerato Motaung                                                   </w:t>
      </w:r>
    </w:p>
    <w:p w14:paraId="5151E1BE"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14:paraId="4D4E145C"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14:paraId="476FDB33"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14:paraId="2938FBD6" w14:textId="77777777" w:rsidR="00BC10DB" w:rsidRPr="00E02933" w:rsidRDefault="00BC10DB" w:rsidP="00BC10DB">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LeratoM@comptrib.co.za</w:t>
        </w:r>
      </w:hyperlink>
    </w:p>
    <w:p w14:paraId="0A21FF16" w14:textId="77777777" w:rsidR="001260C5" w:rsidRDefault="00E45CFB"/>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DB"/>
    <w:rsid w:val="000912D1"/>
    <w:rsid w:val="00212E59"/>
    <w:rsid w:val="004E5F46"/>
    <w:rsid w:val="00A30CC4"/>
    <w:rsid w:val="00B772C9"/>
    <w:rsid w:val="00BC10DB"/>
    <w:rsid w:val="00D54D1A"/>
    <w:rsid w:val="00E45CFB"/>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34EC"/>
  <w15:chartTrackingRefBased/>
  <w15:docId w15:val="{DBCF5B47-7F0C-4DB4-9423-201D2E01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0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10DB"/>
    <w:rPr>
      <w:i/>
      <w:iCs/>
    </w:rPr>
  </w:style>
  <w:style w:type="character" w:customStyle="1" w:styleId="apple-converted-space">
    <w:name w:val="apple-converted-space"/>
    <w:basedOn w:val="DefaultParagraphFont"/>
    <w:rsid w:val="00BC10DB"/>
  </w:style>
  <w:style w:type="character" w:styleId="Hyperlink">
    <w:name w:val="Hyperlink"/>
    <w:basedOn w:val="DefaultParagraphFont"/>
    <w:uiPriority w:val="99"/>
    <w:unhideWhenUsed/>
    <w:rsid w:val="00BC10DB"/>
    <w:rPr>
      <w:color w:val="0000FF"/>
      <w:u w:val="single"/>
    </w:rPr>
  </w:style>
  <w:style w:type="paragraph" w:styleId="BalloonText">
    <w:name w:val="Balloon Text"/>
    <w:basedOn w:val="Normal"/>
    <w:link w:val="BalloonTextChar"/>
    <w:uiPriority w:val="99"/>
    <w:semiHidden/>
    <w:unhideWhenUsed/>
    <w:rsid w:val="00E4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AppData\Local\Microsoft\Windows\INetCache\Content.Outlook\OVZTB0PH\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2019-04-24T16:26:00Z</dcterms:created>
  <dcterms:modified xsi:type="dcterms:W3CDTF">2019-04-24T16:26:00Z</dcterms:modified>
</cp:coreProperties>
</file>