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0883" w14:textId="77777777" w:rsidR="005E485B" w:rsidRDefault="005E485B" w:rsidP="00CF3501">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86D870D" wp14:editId="5CE2D9F5">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7947D47" w14:textId="77777777" w:rsidR="005E485B" w:rsidRDefault="005E485B" w:rsidP="00CF3501">
      <w:pPr>
        <w:spacing w:after="0" w:line="240" w:lineRule="auto"/>
        <w:jc w:val="center"/>
        <w:rPr>
          <w:rFonts w:ascii="Arial" w:hAnsi="Arial" w:cs="Arial"/>
          <w:b/>
        </w:rPr>
      </w:pPr>
    </w:p>
    <w:p w14:paraId="7696F803" w14:textId="77777777" w:rsidR="005E485B" w:rsidRDefault="005E485B" w:rsidP="00CF3501">
      <w:pPr>
        <w:spacing w:after="0" w:line="240" w:lineRule="auto"/>
        <w:jc w:val="center"/>
        <w:rPr>
          <w:rFonts w:ascii="Arial" w:hAnsi="Arial" w:cs="Arial"/>
          <w:b/>
        </w:rPr>
      </w:pPr>
    </w:p>
    <w:p w14:paraId="18B58886" w14:textId="77777777" w:rsidR="005E485B" w:rsidRPr="00E41BF5" w:rsidRDefault="005E485B" w:rsidP="00CF3501">
      <w:pPr>
        <w:spacing w:after="0" w:line="240" w:lineRule="auto"/>
        <w:jc w:val="center"/>
        <w:rPr>
          <w:rFonts w:ascii="Arial" w:hAnsi="Arial" w:cs="Arial"/>
          <w:b/>
        </w:rPr>
      </w:pPr>
    </w:p>
    <w:p w14:paraId="074332DB" w14:textId="77777777" w:rsidR="005E485B" w:rsidRPr="00E02933" w:rsidRDefault="000E3415" w:rsidP="00CF3501">
      <w:pPr>
        <w:spacing w:after="0" w:line="240" w:lineRule="auto"/>
        <w:jc w:val="center"/>
        <w:rPr>
          <w:rFonts w:ascii="Arial" w:hAnsi="Arial" w:cs="Arial"/>
          <w:b/>
        </w:rPr>
      </w:pPr>
      <w:r>
        <w:rPr>
          <w:rFonts w:ascii="Arial" w:hAnsi="Arial" w:cs="Arial"/>
          <w:b/>
        </w:rPr>
        <w:t xml:space="preserve">OUTCOME OF </w:t>
      </w:r>
      <w:r w:rsidR="005E485B" w:rsidRPr="00E02933">
        <w:rPr>
          <w:rFonts w:ascii="Arial" w:hAnsi="Arial" w:cs="Arial"/>
          <w:b/>
        </w:rPr>
        <w:t>TRIBUNAL ROL</w:t>
      </w:r>
      <w:r w:rsidR="005E485B">
        <w:rPr>
          <w:rFonts w:ascii="Arial" w:hAnsi="Arial" w:cs="Arial"/>
          <w:b/>
        </w:rPr>
        <w:t>L FOR WEDNESDAY, 31 AUGUST 2016</w:t>
      </w:r>
    </w:p>
    <w:p w14:paraId="3802BB8C" w14:textId="77777777" w:rsidR="005E485B" w:rsidRPr="00E02933" w:rsidRDefault="005E485B" w:rsidP="00CF3501">
      <w:pPr>
        <w:spacing w:after="0" w:line="240" w:lineRule="auto"/>
        <w:jc w:val="both"/>
        <w:rPr>
          <w:rFonts w:ascii="Arial" w:hAnsi="Arial" w:cs="Arial"/>
          <w:b/>
        </w:rPr>
      </w:pPr>
    </w:p>
    <w:p w14:paraId="5BE1C858" w14:textId="77777777" w:rsidR="005E485B" w:rsidRPr="00E02933" w:rsidRDefault="005E485B" w:rsidP="00CF3501">
      <w:pPr>
        <w:spacing w:after="0" w:line="240" w:lineRule="auto"/>
        <w:jc w:val="both"/>
        <w:rPr>
          <w:rFonts w:ascii="Arial" w:hAnsi="Arial" w:cs="Arial"/>
          <w:b/>
        </w:rPr>
      </w:pPr>
    </w:p>
    <w:p w14:paraId="7FCFB3AD" w14:textId="77777777" w:rsidR="005E485B" w:rsidRPr="00E02933" w:rsidRDefault="005E485B" w:rsidP="00CF3501">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E485B" w:rsidRPr="00E02933" w14:paraId="26CA33F6" w14:textId="77777777" w:rsidTr="00214995">
        <w:trPr>
          <w:trHeight w:val="972"/>
        </w:trPr>
        <w:tc>
          <w:tcPr>
            <w:tcW w:w="3153" w:type="dxa"/>
            <w:shd w:val="clear" w:color="auto" w:fill="996633"/>
          </w:tcPr>
          <w:p w14:paraId="5E2D00A3"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14:paraId="7F7E52BD"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14:paraId="2C392196"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5E485B" w:rsidRPr="005E485B" w14:paraId="59101F72" w14:textId="77777777" w:rsidTr="00214995">
        <w:trPr>
          <w:trHeight w:val="493"/>
        </w:trPr>
        <w:tc>
          <w:tcPr>
            <w:tcW w:w="3153" w:type="dxa"/>
          </w:tcPr>
          <w:p w14:paraId="36382E3F" w14:textId="77777777" w:rsidR="005E485B" w:rsidRPr="005E485B" w:rsidRDefault="005E485B" w:rsidP="00CF3501">
            <w:pPr>
              <w:jc w:val="both"/>
              <w:rPr>
                <w:rFonts w:ascii="Arial" w:hAnsi="Arial" w:cs="Arial"/>
              </w:rPr>
            </w:pPr>
            <w:r w:rsidRPr="005E485B">
              <w:rPr>
                <w:rFonts w:ascii="Arial" w:hAnsi="Arial" w:cs="Arial"/>
              </w:rPr>
              <w:t>Large merger</w:t>
            </w:r>
          </w:p>
        </w:tc>
        <w:tc>
          <w:tcPr>
            <w:tcW w:w="3198" w:type="dxa"/>
          </w:tcPr>
          <w:p w14:paraId="24530479" w14:textId="77777777" w:rsidR="005E485B" w:rsidRPr="005E485B" w:rsidRDefault="005E485B" w:rsidP="00CF3501">
            <w:pPr>
              <w:jc w:val="both"/>
              <w:rPr>
                <w:rFonts w:ascii="Arial" w:hAnsi="Arial" w:cs="Arial"/>
              </w:rPr>
            </w:pPr>
            <w:proofErr w:type="spellStart"/>
            <w:r w:rsidRPr="005E485B">
              <w:rPr>
                <w:rFonts w:ascii="Arial" w:hAnsi="Arial" w:cs="Arial"/>
              </w:rPr>
              <w:t>Rebosis</w:t>
            </w:r>
            <w:proofErr w:type="spellEnd"/>
            <w:r w:rsidRPr="005E485B">
              <w:rPr>
                <w:rFonts w:ascii="Arial" w:hAnsi="Arial" w:cs="Arial"/>
              </w:rPr>
              <w:t xml:space="preserve"> Property Fund Ltd And Billion Group (Pty) Ltd in Respect of Billion Property developments (Pty) Ltd, Bay West City (Pty) Ltd, Billion Asset Managers (Pty) Ltd and Billion Property Services (Pty) Ltd</w:t>
            </w:r>
          </w:p>
        </w:tc>
        <w:tc>
          <w:tcPr>
            <w:tcW w:w="2873" w:type="dxa"/>
          </w:tcPr>
          <w:p w14:paraId="1FDF6AC7" w14:textId="77777777" w:rsidR="005E485B" w:rsidRPr="005E485B" w:rsidRDefault="005E485B" w:rsidP="00CF3501">
            <w:pPr>
              <w:jc w:val="both"/>
              <w:rPr>
                <w:rFonts w:ascii="Arial" w:hAnsi="Arial" w:cs="Arial"/>
              </w:rPr>
            </w:pPr>
            <w:r w:rsidRPr="005E485B">
              <w:rPr>
                <w:rFonts w:ascii="Arial" w:hAnsi="Arial" w:cs="Arial"/>
              </w:rPr>
              <w:t>Approval without conditions</w:t>
            </w:r>
          </w:p>
        </w:tc>
      </w:tr>
      <w:tr w:rsidR="005E485B" w:rsidRPr="005E485B" w14:paraId="420868D2" w14:textId="77777777" w:rsidTr="00214995">
        <w:trPr>
          <w:trHeight w:val="479"/>
        </w:trPr>
        <w:tc>
          <w:tcPr>
            <w:tcW w:w="3153" w:type="dxa"/>
          </w:tcPr>
          <w:p w14:paraId="5A93395F" w14:textId="77777777" w:rsidR="005E485B" w:rsidRPr="005E485B" w:rsidRDefault="005E485B" w:rsidP="00CF3501">
            <w:pPr>
              <w:jc w:val="both"/>
              <w:rPr>
                <w:rFonts w:ascii="Arial" w:hAnsi="Arial" w:cs="Arial"/>
              </w:rPr>
            </w:pPr>
            <w:r w:rsidRPr="005E485B">
              <w:rPr>
                <w:rFonts w:ascii="Arial" w:hAnsi="Arial" w:cs="Arial"/>
              </w:rPr>
              <w:t>Large merger</w:t>
            </w:r>
          </w:p>
          <w:p w14:paraId="5D0CCCFF" w14:textId="77777777" w:rsidR="005E485B" w:rsidRPr="005E485B" w:rsidRDefault="005E485B" w:rsidP="00CF3501">
            <w:pPr>
              <w:jc w:val="both"/>
              <w:rPr>
                <w:rFonts w:ascii="Arial" w:hAnsi="Arial" w:cs="Arial"/>
              </w:rPr>
            </w:pPr>
          </w:p>
        </w:tc>
        <w:tc>
          <w:tcPr>
            <w:tcW w:w="3198" w:type="dxa"/>
          </w:tcPr>
          <w:p w14:paraId="4F214A85" w14:textId="77777777" w:rsidR="005E485B" w:rsidRPr="005E485B" w:rsidRDefault="005E485B" w:rsidP="00CF3501">
            <w:pPr>
              <w:jc w:val="both"/>
              <w:rPr>
                <w:rFonts w:ascii="Arial" w:hAnsi="Arial" w:cs="Arial"/>
              </w:rPr>
            </w:pPr>
            <w:r w:rsidRPr="005E485B">
              <w:rPr>
                <w:rFonts w:ascii="Arial" w:hAnsi="Arial" w:cs="Arial"/>
              </w:rPr>
              <w:t>Billion Property Group (Pty) Ltd And Bay West City (Pty) Ltd</w:t>
            </w:r>
          </w:p>
        </w:tc>
        <w:tc>
          <w:tcPr>
            <w:tcW w:w="2873" w:type="dxa"/>
          </w:tcPr>
          <w:p w14:paraId="4B34C222"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79167E18" w14:textId="77777777" w:rsidTr="00214995">
        <w:trPr>
          <w:trHeight w:val="726"/>
        </w:trPr>
        <w:tc>
          <w:tcPr>
            <w:tcW w:w="3153" w:type="dxa"/>
          </w:tcPr>
          <w:p w14:paraId="57AA0B4B"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31800F45" w14:textId="77777777" w:rsidR="005E485B" w:rsidRPr="005E485B" w:rsidRDefault="005E485B" w:rsidP="00CF3501">
            <w:pPr>
              <w:jc w:val="both"/>
              <w:rPr>
                <w:rFonts w:ascii="Arial" w:hAnsi="Arial" w:cs="Arial"/>
                <w:color w:val="000000"/>
              </w:rPr>
            </w:pPr>
            <w:proofErr w:type="spellStart"/>
            <w:r w:rsidRPr="005E485B">
              <w:rPr>
                <w:rFonts w:ascii="Arial" w:hAnsi="Arial" w:cs="Arial"/>
              </w:rPr>
              <w:t>Rosewild</w:t>
            </w:r>
            <w:proofErr w:type="spellEnd"/>
            <w:r w:rsidRPr="005E485B">
              <w:rPr>
                <w:rFonts w:ascii="Arial" w:hAnsi="Arial" w:cs="Arial"/>
              </w:rPr>
              <w:t xml:space="preserve"> Trade and Invest (Pty) Ltd And Chlor-Alkali Holdings (Pty) Ltd</w:t>
            </w:r>
          </w:p>
        </w:tc>
        <w:tc>
          <w:tcPr>
            <w:tcW w:w="2873" w:type="dxa"/>
          </w:tcPr>
          <w:p w14:paraId="18D6876F"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429E0C1A" w14:textId="77777777" w:rsidTr="00214995">
        <w:trPr>
          <w:trHeight w:val="726"/>
        </w:trPr>
        <w:tc>
          <w:tcPr>
            <w:tcW w:w="3153" w:type="dxa"/>
          </w:tcPr>
          <w:p w14:paraId="6EF05793"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155CA228" w14:textId="77777777" w:rsidR="005E485B" w:rsidRPr="005E485B" w:rsidRDefault="005E485B" w:rsidP="00CF3501">
            <w:pPr>
              <w:jc w:val="both"/>
              <w:rPr>
                <w:rFonts w:ascii="Arial" w:hAnsi="Arial" w:cs="Arial"/>
                <w:color w:val="000000"/>
              </w:rPr>
            </w:pPr>
            <w:r w:rsidRPr="005E485B">
              <w:rPr>
                <w:rFonts w:ascii="Arial" w:hAnsi="Arial" w:cs="Arial"/>
              </w:rPr>
              <w:t xml:space="preserve">The Bidvest Group Ltd And </w:t>
            </w:r>
            <w:proofErr w:type="spellStart"/>
            <w:r w:rsidRPr="005E485B">
              <w:rPr>
                <w:rFonts w:ascii="Arial" w:hAnsi="Arial" w:cs="Arial"/>
              </w:rPr>
              <w:t>Brandcorp</w:t>
            </w:r>
            <w:proofErr w:type="spellEnd"/>
            <w:r w:rsidRPr="005E485B">
              <w:rPr>
                <w:rFonts w:ascii="Arial" w:hAnsi="Arial" w:cs="Arial"/>
              </w:rPr>
              <w:t xml:space="preserve"> Holdings (Pty) Ltd</w:t>
            </w:r>
          </w:p>
        </w:tc>
        <w:tc>
          <w:tcPr>
            <w:tcW w:w="2873" w:type="dxa"/>
          </w:tcPr>
          <w:p w14:paraId="1DC5A6D5"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09EE0BBD" w14:textId="77777777" w:rsidTr="00214995">
        <w:trPr>
          <w:trHeight w:val="70"/>
        </w:trPr>
        <w:tc>
          <w:tcPr>
            <w:tcW w:w="3153" w:type="dxa"/>
          </w:tcPr>
          <w:p w14:paraId="4443094D" w14:textId="77777777" w:rsidR="005E485B" w:rsidRPr="005E485B" w:rsidRDefault="005E485B" w:rsidP="00CF3501">
            <w:pPr>
              <w:jc w:val="both"/>
              <w:rPr>
                <w:rFonts w:ascii="Arial" w:hAnsi="Arial" w:cs="Arial"/>
              </w:rPr>
            </w:pPr>
            <w:r w:rsidRPr="005E485B">
              <w:rPr>
                <w:rFonts w:ascii="Arial" w:hAnsi="Arial" w:cs="Arial"/>
              </w:rPr>
              <w:t>Exception application</w:t>
            </w:r>
          </w:p>
        </w:tc>
        <w:tc>
          <w:tcPr>
            <w:tcW w:w="3198" w:type="dxa"/>
          </w:tcPr>
          <w:p w14:paraId="5AC8B03A" w14:textId="77777777" w:rsidR="005E485B" w:rsidRPr="005E485B" w:rsidRDefault="005E485B" w:rsidP="00CF3501">
            <w:pPr>
              <w:jc w:val="both"/>
              <w:rPr>
                <w:rFonts w:ascii="Arial" w:hAnsi="Arial" w:cs="Arial"/>
                <w:lang w:val="en-US"/>
              </w:rPr>
            </w:pPr>
            <w:proofErr w:type="spellStart"/>
            <w:r w:rsidRPr="005E485B">
              <w:rPr>
                <w:rFonts w:ascii="Arial" w:hAnsi="Arial" w:cs="Arial"/>
              </w:rPr>
              <w:t>Casalinga</w:t>
            </w:r>
            <w:proofErr w:type="spellEnd"/>
            <w:r w:rsidRPr="005E485B">
              <w:rPr>
                <w:rFonts w:ascii="Arial" w:hAnsi="Arial" w:cs="Arial"/>
              </w:rPr>
              <w:t xml:space="preserve"> Investments CC t/a Waste Rite and Competition Commission</w:t>
            </w:r>
          </w:p>
          <w:p w14:paraId="601D986E" w14:textId="77777777" w:rsidR="005E485B" w:rsidRPr="005E485B" w:rsidRDefault="005E485B" w:rsidP="00CF3501">
            <w:pPr>
              <w:jc w:val="both"/>
              <w:rPr>
                <w:rFonts w:ascii="Arial" w:hAnsi="Arial" w:cs="Arial"/>
                <w:color w:val="000000"/>
              </w:rPr>
            </w:pPr>
          </w:p>
        </w:tc>
        <w:tc>
          <w:tcPr>
            <w:tcW w:w="2873" w:type="dxa"/>
          </w:tcPr>
          <w:p w14:paraId="6A6D9B5C" w14:textId="77777777" w:rsidR="005E485B" w:rsidRPr="005E485B" w:rsidRDefault="005E485B" w:rsidP="00CF3501">
            <w:pPr>
              <w:rPr>
                <w:rFonts w:ascii="Arial" w:hAnsi="Arial" w:cs="Arial"/>
              </w:rPr>
            </w:pPr>
            <w:r w:rsidRPr="005E485B">
              <w:rPr>
                <w:rFonts w:ascii="Arial" w:hAnsi="Arial" w:cs="Arial"/>
              </w:rPr>
              <w:t>Exception application</w:t>
            </w:r>
          </w:p>
        </w:tc>
      </w:tr>
      <w:tr w:rsidR="005E485B" w:rsidRPr="005E485B" w14:paraId="20E94D39" w14:textId="77777777" w:rsidTr="00214995">
        <w:trPr>
          <w:trHeight w:val="70"/>
        </w:trPr>
        <w:tc>
          <w:tcPr>
            <w:tcW w:w="3153" w:type="dxa"/>
          </w:tcPr>
          <w:p w14:paraId="0C451A0B" w14:textId="77777777" w:rsidR="005E485B" w:rsidRPr="005E485B" w:rsidRDefault="005E485B" w:rsidP="00CF3501">
            <w:pPr>
              <w:jc w:val="both"/>
              <w:rPr>
                <w:rFonts w:ascii="Arial" w:hAnsi="Arial" w:cs="Arial"/>
              </w:rPr>
            </w:pPr>
            <w:r w:rsidRPr="005E485B">
              <w:rPr>
                <w:rFonts w:ascii="Arial" w:hAnsi="Arial" w:cs="Arial"/>
              </w:rPr>
              <w:t>Settlement agreement</w:t>
            </w:r>
          </w:p>
        </w:tc>
        <w:tc>
          <w:tcPr>
            <w:tcW w:w="3198" w:type="dxa"/>
          </w:tcPr>
          <w:p w14:paraId="5204DD4E" w14:textId="77777777" w:rsidR="005E485B" w:rsidRPr="005E485B" w:rsidRDefault="005E485B" w:rsidP="00CF3501">
            <w:pPr>
              <w:jc w:val="both"/>
              <w:rPr>
                <w:rFonts w:ascii="Arial" w:hAnsi="Arial" w:cs="Arial"/>
                <w:lang w:val="en-US"/>
              </w:rPr>
            </w:pPr>
            <w:r w:rsidRPr="005E485B">
              <w:rPr>
                <w:rFonts w:ascii="Arial" w:hAnsi="Arial" w:cs="Arial"/>
              </w:rPr>
              <w:t>Competition Commission And South African Pelagic Fish Processors Association</w:t>
            </w:r>
          </w:p>
          <w:p w14:paraId="1FAAD3DA" w14:textId="77777777" w:rsidR="005E485B" w:rsidRPr="005E485B" w:rsidRDefault="005E485B" w:rsidP="00CF3501">
            <w:pPr>
              <w:jc w:val="both"/>
              <w:rPr>
                <w:rFonts w:ascii="Arial" w:hAnsi="Arial" w:cs="Arial"/>
                <w:color w:val="000000"/>
              </w:rPr>
            </w:pPr>
          </w:p>
        </w:tc>
        <w:tc>
          <w:tcPr>
            <w:tcW w:w="2873" w:type="dxa"/>
          </w:tcPr>
          <w:p w14:paraId="778E15DA" w14:textId="77777777" w:rsidR="005E485B" w:rsidRPr="005E485B" w:rsidRDefault="005E485B" w:rsidP="00CF3501">
            <w:pPr>
              <w:rPr>
                <w:rFonts w:ascii="Arial" w:hAnsi="Arial" w:cs="Arial"/>
              </w:rPr>
            </w:pPr>
            <w:r w:rsidRPr="005E485B">
              <w:rPr>
                <w:rFonts w:ascii="Arial" w:hAnsi="Arial" w:cs="Arial"/>
              </w:rPr>
              <w:t>Settlement agreement</w:t>
            </w:r>
          </w:p>
        </w:tc>
      </w:tr>
    </w:tbl>
    <w:p w14:paraId="31445574" w14:textId="77777777" w:rsidR="000E3415" w:rsidRDefault="000E3415" w:rsidP="00CF3501">
      <w:pPr>
        <w:spacing w:line="240" w:lineRule="auto"/>
        <w:rPr>
          <w:rFonts w:ascii="Arial" w:eastAsia="Calibri" w:hAnsi="Arial" w:cs="Arial"/>
          <w:b/>
        </w:rPr>
      </w:pPr>
    </w:p>
    <w:p w14:paraId="258F2380" w14:textId="77777777" w:rsidR="00C8396C" w:rsidRPr="00CF3501" w:rsidRDefault="00C8396C" w:rsidP="00CF3501">
      <w:pPr>
        <w:spacing w:line="240" w:lineRule="auto"/>
        <w:rPr>
          <w:rFonts w:ascii="Arial" w:eastAsia="Calibri" w:hAnsi="Arial" w:cs="Arial"/>
          <w:b/>
        </w:rPr>
      </w:pPr>
      <w:proofErr w:type="spellStart"/>
      <w:r w:rsidRPr="00CF3501">
        <w:rPr>
          <w:rFonts w:ascii="Arial" w:eastAsia="Calibri" w:hAnsi="Arial" w:cs="Arial"/>
          <w:b/>
        </w:rPr>
        <w:t>Rebosis</w:t>
      </w:r>
      <w:proofErr w:type="spellEnd"/>
      <w:r w:rsidRPr="00CF3501">
        <w:rPr>
          <w:rFonts w:ascii="Arial" w:eastAsia="Calibri" w:hAnsi="Arial" w:cs="Arial"/>
          <w:b/>
        </w:rPr>
        <w:t xml:space="preserve"> merger with four companies in the Billion Group</w:t>
      </w:r>
      <w:r w:rsidR="00C26F77">
        <w:rPr>
          <w:rFonts w:ascii="Arial" w:eastAsia="Calibri" w:hAnsi="Arial" w:cs="Arial"/>
          <w:b/>
        </w:rPr>
        <w:t xml:space="preserve"> approved </w:t>
      </w:r>
    </w:p>
    <w:p w14:paraId="7F51AF9A" w14:textId="77777777" w:rsidR="0020462A" w:rsidRDefault="0020462A" w:rsidP="00CF3501">
      <w:pPr>
        <w:spacing w:line="240" w:lineRule="auto"/>
        <w:jc w:val="both"/>
        <w:rPr>
          <w:rFonts w:ascii="Arial" w:eastAsia="Calibri" w:hAnsi="Arial" w:cs="Arial"/>
        </w:rPr>
      </w:pPr>
      <w:r>
        <w:rPr>
          <w:rFonts w:ascii="Arial" w:eastAsia="Calibri" w:hAnsi="Arial" w:cs="Arial"/>
        </w:rPr>
        <w:t xml:space="preserve">The </w:t>
      </w:r>
      <w:r w:rsidR="00C8396C" w:rsidRPr="00CF3501">
        <w:rPr>
          <w:rFonts w:ascii="Arial" w:eastAsia="Calibri" w:hAnsi="Arial" w:cs="Arial"/>
        </w:rPr>
        <w:t xml:space="preserve">merger of listed company </w:t>
      </w:r>
      <w:proofErr w:type="spellStart"/>
      <w:r w:rsidR="00C8396C" w:rsidRPr="00CF3501">
        <w:rPr>
          <w:rFonts w:ascii="Arial" w:eastAsia="Calibri" w:hAnsi="Arial" w:cs="Arial"/>
        </w:rPr>
        <w:t>Rebosis</w:t>
      </w:r>
      <w:proofErr w:type="spellEnd"/>
      <w:r w:rsidR="00C8396C" w:rsidRPr="00CF3501">
        <w:rPr>
          <w:rFonts w:ascii="Arial" w:eastAsia="Calibri" w:hAnsi="Arial" w:cs="Arial"/>
        </w:rPr>
        <w:t>, a real estate investment trust, and Billion Group (Pty) Ltd, in respect of four companies: Billion Property Developments (Pty) Ltd; Bay West City (Pty) Ltd; Billion Asset Managers (Pty) Ltd and Bill</w:t>
      </w:r>
      <w:r>
        <w:rPr>
          <w:rFonts w:ascii="Arial" w:eastAsia="Calibri" w:hAnsi="Arial" w:cs="Arial"/>
        </w:rPr>
        <w:t xml:space="preserve">ion </w:t>
      </w:r>
      <w:r w:rsidR="00C26F77">
        <w:rPr>
          <w:rFonts w:ascii="Arial" w:eastAsia="Calibri" w:hAnsi="Arial" w:cs="Arial"/>
        </w:rPr>
        <w:t>Property Services (Pty) Ltd, was</w:t>
      </w:r>
      <w:r>
        <w:rPr>
          <w:rFonts w:ascii="Arial" w:eastAsia="Calibri" w:hAnsi="Arial" w:cs="Arial"/>
        </w:rPr>
        <w:t xml:space="preserve"> approved by the Competition Tribunal.</w:t>
      </w:r>
    </w:p>
    <w:p w14:paraId="7BCA996F" w14:textId="77777777" w:rsidR="00C8396C" w:rsidRPr="00CF3501" w:rsidRDefault="00C8396C" w:rsidP="0020462A">
      <w:pPr>
        <w:spacing w:line="240" w:lineRule="auto"/>
        <w:jc w:val="both"/>
        <w:rPr>
          <w:rFonts w:ascii="Arial" w:eastAsia="Calibri" w:hAnsi="Arial" w:cs="Arial"/>
        </w:rPr>
      </w:pPr>
      <w:r w:rsidRPr="00CF3501">
        <w:rPr>
          <w:rFonts w:ascii="Arial" w:eastAsia="Calibri" w:hAnsi="Arial" w:cs="Arial"/>
        </w:rPr>
        <w:t xml:space="preserve">Post-merger </w:t>
      </w:r>
      <w:proofErr w:type="spellStart"/>
      <w:r w:rsidRPr="00CF3501">
        <w:rPr>
          <w:rFonts w:ascii="Arial" w:eastAsia="Calibri" w:hAnsi="Arial" w:cs="Arial"/>
        </w:rPr>
        <w:t>Rebosis</w:t>
      </w:r>
      <w:proofErr w:type="spellEnd"/>
      <w:r w:rsidRPr="00CF3501">
        <w:rPr>
          <w:rFonts w:ascii="Arial" w:eastAsia="Calibri" w:hAnsi="Arial" w:cs="Arial"/>
        </w:rPr>
        <w:t xml:space="preserve"> will control the acquired firms. </w:t>
      </w:r>
      <w:r w:rsidR="0020462A">
        <w:rPr>
          <w:rFonts w:ascii="Arial" w:eastAsia="Calibri" w:hAnsi="Arial" w:cs="Arial"/>
        </w:rPr>
        <w:t>It</w:t>
      </w:r>
      <w:r w:rsidRPr="00CF3501">
        <w:rPr>
          <w:rFonts w:ascii="Arial" w:eastAsia="Calibri" w:hAnsi="Arial" w:cs="Arial"/>
        </w:rPr>
        <w:t xml:space="preserve"> has a property portfolio made up of office, retail and industrial properties located throughout the country. </w:t>
      </w:r>
    </w:p>
    <w:p w14:paraId="266D2625" w14:textId="77777777" w:rsidR="00C8396C" w:rsidRPr="00CF3501" w:rsidRDefault="00C8396C" w:rsidP="00CF3501">
      <w:pPr>
        <w:spacing w:after="200" w:line="240" w:lineRule="auto"/>
        <w:jc w:val="both"/>
        <w:rPr>
          <w:rFonts w:ascii="Arial" w:eastAsia="Calibri" w:hAnsi="Arial" w:cs="Arial"/>
        </w:rPr>
      </w:pPr>
      <w:r w:rsidRPr="00CF3501">
        <w:rPr>
          <w:rFonts w:ascii="Arial" w:eastAsia="Calibri" w:hAnsi="Arial" w:cs="Arial"/>
        </w:rPr>
        <w:lastRenderedPageBreak/>
        <w:t xml:space="preserve">The Billion Group, a black-owned company, is controlled by the </w:t>
      </w:r>
      <w:proofErr w:type="spellStart"/>
      <w:r w:rsidRPr="00CF3501">
        <w:rPr>
          <w:rFonts w:ascii="Arial" w:eastAsia="Calibri" w:hAnsi="Arial" w:cs="Arial"/>
        </w:rPr>
        <w:t>Amatola</w:t>
      </w:r>
      <w:proofErr w:type="spellEnd"/>
      <w:r w:rsidRPr="00CF3501">
        <w:rPr>
          <w:rFonts w:ascii="Arial" w:eastAsia="Calibri" w:hAnsi="Arial" w:cs="Arial"/>
        </w:rPr>
        <w:t xml:space="preserve"> Family Trust. Billion Property Developments and Bay West City own two shopping centres, namely Forest Hill Shopping Centre in Centurion, Gauteng an</w:t>
      </w:r>
      <w:r w:rsidR="00CF3501">
        <w:rPr>
          <w:rFonts w:ascii="Arial" w:eastAsia="Calibri" w:hAnsi="Arial" w:cs="Arial"/>
        </w:rPr>
        <w:t xml:space="preserve">d </w:t>
      </w:r>
      <w:proofErr w:type="spellStart"/>
      <w:r w:rsidR="00CF3501">
        <w:rPr>
          <w:rFonts w:ascii="Arial" w:eastAsia="Calibri" w:hAnsi="Arial" w:cs="Arial"/>
        </w:rPr>
        <w:t>Baywest</w:t>
      </w:r>
      <w:proofErr w:type="spellEnd"/>
      <w:r w:rsidR="00CF3501">
        <w:rPr>
          <w:rFonts w:ascii="Arial" w:eastAsia="Calibri" w:hAnsi="Arial" w:cs="Arial"/>
        </w:rPr>
        <w:t xml:space="preserve"> Mall, Port Elizabeth. </w:t>
      </w:r>
      <w:r w:rsidRPr="00CF3501">
        <w:rPr>
          <w:rFonts w:ascii="Arial" w:eastAsia="Calibri" w:hAnsi="Arial" w:cs="Arial"/>
        </w:rPr>
        <w:t>Billion Asset Managers is an asset management service provider, w</w:t>
      </w:r>
      <w:r w:rsidR="006134C9">
        <w:rPr>
          <w:rFonts w:ascii="Arial" w:eastAsia="Calibri" w:hAnsi="Arial" w:cs="Arial"/>
        </w:rPr>
        <w:t xml:space="preserve">hich manages Billion Group and </w:t>
      </w:r>
      <w:proofErr w:type="spellStart"/>
      <w:r w:rsidRPr="00CF3501">
        <w:rPr>
          <w:rFonts w:ascii="Arial" w:eastAsia="Calibri" w:hAnsi="Arial" w:cs="Arial"/>
        </w:rPr>
        <w:t>Rebosis</w:t>
      </w:r>
      <w:proofErr w:type="spellEnd"/>
      <w:r w:rsidRPr="00CF3501">
        <w:rPr>
          <w:rFonts w:ascii="Arial" w:eastAsia="Calibri" w:hAnsi="Arial" w:cs="Arial"/>
        </w:rPr>
        <w:t xml:space="preserve"> property portfolio.</w:t>
      </w:r>
    </w:p>
    <w:p w14:paraId="445D25C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In the Eastern Cape the Commission</w:t>
      </w:r>
      <w:r w:rsidR="006134C9">
        <w:rPr>
          <w:rFonts w:ascii="Arial" w:eastAsia="Calibri" w:hAnsi="Arial" w:cs="Arial"/>
        </w:rPr>
        <w:t xml:space="preserve"> had</w:t>
      </w:r>
      <w:r w:rsidRPr="00CF3501">
        <w:rPr>
          <w:rFonts w:ascii="Arial" w:eastAsia="Calibri" w:hAnsi="Arial" w:cs="Arial"/>
        </w:rPr>
        <w:t xml:space="preserve"> found the closest acquiring firm’s property is located more than 200km away from one of the target properties</w:t>
      </w:r>
      <w:r w:rsidR="00A552AE" w:rsidRPr="00CF3501">
        <w:rPr>
          <w:rFonts w:ascii="Arial" w:eastAsia="Calibri" w:hAnsi="Arial" w:cs="Arial"/>
        </w:rPr>
        <w:t>,</w:t>
      </w:r>
      <w:r w:rsidRPr="00CF3501">
        <w:rPr>
          <w:rFonts w:ascii="Arial" w:eastAsia="Calibri" w:hAnsi="Arial" w:cs="Arial"/>
        </w:rPr>
        <w:t xml:space="preserve"> </w:t>
      </w:r>
      <w:proofErr w:type="spellStart"/>
      <w:r w:rsidRPr="00CF3501">
        <w:rPr>
          <w:rFonts w:ascii="Arial" w:eastAsia="Calibri" w:hAnsi="Arial" w:cs="Arial"/>
        </w:rPr>
        <w:t>Baywest</w:t>
      </w:r>
      <w:proofErr w:type="spellEnd"/>
      <w:r w:rsidRPr="00CF3501">
        <w:rPr>
          <w:rFonts w:ascii="Arial" w:eastAsia="Calibri" w:hAnsi="Arial" w:cs="Arial"/>
        </w:rPr>
        <w:t xml:space="preserve"> Mall</w:t>
      </w:r>
      <w:r w:rsidR="00A552AE" w:rsidRPr="00CF3501">
        <w:rPr>
          <w:rFonts w:ascii="Arial" w:eastAsia="Calibri" w:hAnsi="Arial" w:cs="Arial"/>
        </w:rPr>
        <w:t>,</w:t>
      </w:r>
      <w:r w:rsidRPr="00CF3501">
        <w:rPr>
          <w:rFonts w:ascii="Arial" w:eastAsia="Calibri" w:hAnsi="Arial" w:cs="Arial"/>
        </w:rPr>
        <w:t xml:space="preserve"> so there was no geological overlap between properties in that province.</w:t>
      </w:r>
    </w:p>
    <w:p w14:paraId="447FBA1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 xml:space="preserve">In Gauteng the Commission </w:t>
      </w:r>
      <w:r w:rsidR="006134C9">
        <w:rPr>
          <w:rFonts w:ascii="Arial" w:eastAsia="Calibri" w:hAnsi="Arial" w:cs="Arial"/>
        </w:rPr>
        <w:t xml:space="preserve">had </w:t>
      </w:r>
      <w:r w:rsidRPr="00CF3501">
        <w:rPr>
          <w:rFonts w:ascii="Arial" w:eastAsia="Calibri" w:hAnsi="Arial" w:cs="Arial"/>
        </w:rPr>
        <w:t>said the closest</w:t>
      </w:r>
      <w:r w:rsidRPr="00CF3501">
        <w:rPr>
          <w:rFonts w:ascii="Arial" w:eastAsia="Calibri" w:hAnsi="Arial" w:cs="Arial"/>
          <w:u w:val="single"/>
        </w:rPr>
        <w:t xml:space="preserve"> </w:t>
      </w:r>
      <w:r w:rsidRPr="00CF3501">
        <w:rPr>
          <w:rFonts w:ascii="Arial" w:eastAsia="Calibri" w:hAnsi="Arial" w:cs="Arial"/>
        </w:rPr>
        <w:t xml:space="preserve">acquiring firm’s property is located more than 30km away from Forest Hill Mall and there is competition from Brooklyn Mall, Menlyn Mall and others. Also, Forest Hill Mall, one of the Target Firms, </w:t>
      </w:r>
      <w:r w:rsidR="00A552AE" w:rsidRPr="00CF3501">
        <w:rPr>
          <w:rFonts w:ascii="Arial" w:eastAsia="Calibri" w:hAnsi="Arial" w:cs="Arial"/>
        </w:rPr>
        <w:t xml:space="preserve">has competition in the Pretoria centres </w:t>
      </w:r>
      <w:r w:rsidRPr="00CF3501">
        <w:rPr>
          <w:rFonts w:ascii="Arial" w:eastAsia="Calibri" w:hAnsi="Arial" w:cs="Arial"/>
        </w:rPr>
        <w:t xml:space="preserve">such as Centurion Mall, </w:t>
      </w:r>
      <w:proofErr w:type="spellStart"/>
      <w:r w:rsidRPr="00CF3501">
        <w:rPr>
          <w:rFonts w:ascii="Arial" w:eastAsia="Calibri" w:hAnsi="Arial" w:cs="Arial"/>
        </w:rPr>
        <w:t>Mall@Reeds</w:t>
      </w:r>
      <w:proofErr w:type="spellEnd"/>
      <w:r w:rsidRPr="00CF3501">
        <w:rPr>
          <w:rFonts w:ascii="Arial" w:eastAsia="Calibri" w:hAnsi="Arial" w:cs="Arial"/>
        </w:rPr>
        <w:t xml:space="preserve"> and Mall of Africa amongst others, so there was no geographical overlap in the Gauteng province </w:t>
      </w:r>
      <w:r w:rsidR="00A552AE" w:rsidRPr="00CF3501">
        <w:rPr>
          <w:rFonts w:ascii="Arial" w:eastAsia="Calibri" w:hAnsi="Arial" w:cs="Arial"/>
        </w:rPr>
        <w:t xml:space="preserve">either. </w:t>
      </w:r>
    </w:p>
    <w:p w14:paraId="73138415" w14:textId="77777777" w:rsidR="00C8396C" w:rsidRPr="00CF3501" w:rsidRDefault="00C8396C" w:rsidP="00CF3501">
      <w:pPr>
        <w:spacing w:line="240" w:lineRule="auto"/>
        <w:jc w:val="both"/>
        <w:rPr>
          <w:rFonts w:ascii="Arial" w:eastAsia="Calibri" w:hAnsi="Arial" w:cs="Arial"/>
          <w:u w:val="single"/>
        </w:rPr>
      </w:pPr>
      <w:r w:rsidRPr="00CF3501">
        <w:rPr>
          <w:rFonts w:ascii="Arial" w:eastAsia="Calibri" w:hAnsi="Arial" w:cs="Arial"/>
        </w:rPr>
        <w:t>The Commission found the merger would also have a positive impact on</w:t>
      </w:r>
      <w:r w:rsidR="00A552AE" w:rsidRPr="00CF3501">
        <w:rPr>
          <w:rFonts w:ascii="Arial" w:eastAsia="Calibri" w:hAnsi="Arial" w:cs="Arial"/>
        </w:rPr>
        <w:t xml:space="preserve"> black economic empowerment</w:t>
      </w:r>
      <w:r w:rsidRPr="00CF3501">
        <w:rPr>
          <w:rFonts w:ascii="Arial" w:eastAsia="Calibri" w:hAnsi="Arial" w:cs="Arial"/>
        </w:rPr>
        <w:t xml:space="preserve"> </w:t>
      </w:r>
      <w:r w:rsidR="00A552AE" w:rsidRPr="00CF3501">
        <w:rPr>
          <w:rFonts w:ascii="Arial" w:eastAsia="Calibri" w:hAnsi="Arial" w:cs="Arial"/>
        </w:rPr>
        <w:t>(</w:t>
      </w:r>
      <w:r w:rsidRPr="00CF3501">
        <w:rPr>
          <w:rFonts w:ascii="Arial" w:eastAsia="Calibri" w:hAnsi="Arial" w:cs="Arial"/>
        </w:rPr>
        <w:t>BEE</w:t>
      </w:r>
      <w:r w:rsidR="00A552AE" w:rsidRPr="00CF3501">
        <w:rPr>
          <w:rFonts w:ascii="Arial" w:eastAsia="Calibri" w:hAnsi="Arial" w:cs="Arial"/>
        </w:rPr>
        <w:t>)</w:t>
      </w:r>
      <w:r w:rsidRPr="00CF3501">
        <w:rPr>
          <w:rFonts w:ascii="Arial" w:eastAsia="Calibri" w:hAnsi="Arial" w:cs="Arial"/>
        </w:rPr>
        <w:t xml:space="preserve"> shareholding in the target firms. </w:t>
      </w:r>
    </w:p>
    <w:p w14:paraId="4EBF1782" w14:textId="77777777" w:rsidR="00A552AE" w:rsidRPr="00CF3501" w:rsidRDefault="00C26F77" w:rsidP="00CF3501">
      <w:pPr>
        <w:spacing w:line="240" w:lineRule="auto"/>
        <w:rPr>
          <w:rFonts w:ascii="Arial" w:hAnsi="Arial" w:cs="Arial"/>
          <w:b/>
        </w:rPr>
      </w:pPr>
      <w:r>
        <w:rPr>
          <w:rFonts w:ascii="Arial" w:hAnsi="Arial" w:cs="Arial"/>
          <w:b/>
        </w:rPr>
        <w:t xml:space="preserve">Approved merger </w:t>
      </w:r>
      <w:r w:rsidR="00A552AE" w:rsidRPr="00CF3501">
        <w:rPr>
          <w:rFonts w:ascii="Arial" w:hAnsi="Arial" w:cs="Arial"/>
          <w:b/>
        </w:rPr>
        <w:t>will see bl</w:t>
      </w:r>
      <w:r>
        <w:rPr>
          <w:rFonts w:ascii="Arial" w:hAnsi="Arial" w:cs="Arial"/>
          <w:b/>
        </w:rPr>
        <w:t>ack-owned Billion Group acquire</w:t>
      </w:r>
      <w:r w:rsidR="00A552AE" w:rsidRPr="00CF3501">
        <w:rPr>
          <w:rFonts w:ascii="Arial" w:hAnsi="Arial" w:cs="Arial"/>
          <w:b/>
        </w:rPr>
        <w:t xml:space="preserve"> Eastern Cape Mall </w:t>
      </w:r>
    </w:p>
    <w:p w14:paraId="13F5B610" w14:textId="77777777" w:rsidR="00A552AE" w:rsidRPr="00CF3501" w:rsidRDefault="00A552AE" w:rsidP="00CF3501">
      <w:pPr>
        <w:spacing w:line="240" w:lineRule="auto"/>
        <w:rPr>
          <w:rFonts w:ascii="Arial" w:hAnsi="Arial" w:cs="Arial"/>
        </w:rPr>
      </w:pPr>
      <w:r w:rsidRPr="00CF3501">
        <w:rPr>
          <w:rFonts w:ascii="Arial" w:hAnsi="Arial" w:cs="Arial"/>
        </w:rPr>
        <w:t xml:space="preserve">The </w:t>
      </w:r>
      <w:r w:rsidR="006134C9">
        <w:rPr>
          <w:rFonts w:ascii="Arial" w:hAnsi="Arial" w:cs="Arial"/>
        </w:rPr>
        <w:t xml:space="preserve">Tribunal </w:t>
      </w:r>
      <w:r w:rsidRPr="00CF3501">
        <w:rPr>
          <w:rFonts w:ascii="Arial" w:hAnsi="Arial" w:cs="Arial"/>
        </w:rPr>
        <w:t xml:space="preserve">has </w:t>
      </w:r>
      <w:r w:rsidR="006134C9">
        <w:rPr>
          <w:rFonts w:ascii="Arial" w:hAnsi="Arial" w:cs="Arial"/>
        </w:rPr>
        <w:t xml:space="preserve">approved </w:t>
      </w:r>
      <w:r w:rsidRPr="00CF3501">
        <w:rPr>
          <w:rFonts w:ascii="Arial" w:hAnsi="Arial" w:cs="Arial"/>
        </w:rPr>
        <w:t>the unconditional merger between Billion Property Group, a sub</w:t>
      </w:r>
      <w:r w:rsidR="000E3415">
        <w:rPr>
          <w:rFonts w:ascii="Arial" w:hAnsi="Arial" w:cs="Arial"/>
        </w:rPr>
        <w:t xml:space="preserve">sidiary of property development </w:t>
      </w:r>
      <w:r w:rsidRPr="00CF3501">
        <w:rPr>
          <w:rFonts w:ascii="Arial" w:hAnsi="Arial" w:cs="Arial"/>
        </w:rPr>
        <w:t>company Billion Group (Pty) Ltd</w:t>
      </w:r>
      <w:r w:rsidRPr="00CF3501">
        <w:rPr>
          <w:rFonts w:ascii="Arial" w:hAnsi="Arial" w:cs="Arial"/>
          <w:color w:val="333333"/>
          <w:shd w:val="clear" w:color="auto" w:fill="FFFFFF"/>
        </w:rPr>
        <w:t xml:space="preserve">, and </w:t>
      </w:r>
      <w:r w:rsidRPr="00CF3501">
        <w:rPr>
          <w:rFonts w:ascii="Arial" w:hAnsi="Arial" w:cs="Arial"/>
        </w:rPr>
        <w:t xml:space="preserve">Bay West City (Pty) Ltd (“Bay West City”) which owns the target property </w:t>
      </w:r>
      <w:proofErr w:type="spellStart"/>
      <w:r w:rsidRPr="00CF3501">
        <w:rPr>
          <w:rFonts w:ascii="Arial" w:hAnsi="Arial" w:cs="Arial"/>
        </w:rPr>
        <w:t>Baywest</w:t>
      </w:r>
      <w:proofErr w:type="spellEnd"/>
      <w:r w:rsidRPr="00CF3501">
        <w:rPr>
          <w:rFonts w:ascii="Arial" w:hAnsi="Arial" w:cs="Arial"/>
        </w:rPr>
        <w:t xml:space="preserve"> Mall. </w:t>
      </w:r>
    </w:p>
    <w:p w14:paraId="54564380" w14:textId="77777777" w:rsidR="00A552AE" w:rsidRPr="00CF3501" w:rsidRDefault="00A552AE" w:rsidP="00CF3501">
      <w:pPr>
        <w:spacing w:line="240" w:lineRule="auto"/>
        <w:rPr>
          <w:rFonts w:ascii="Arial" w:hAnsi="Arial" w:cs="Arial"/>
        </w:rPr>
      </w:pPr>
      <w:r w:rsidRPr="00CF3501">
        <w:rPr>
          <w:rFonts w:ascii="Arial" w:hAnsi="Arial" w:cs="Arial"/>
        </w:rPr>
        <w:t xml:space="preserve">The Mall is situated in Port Elizabeth, Eastern Cape. The merger would see Billion Property Group gain sole ownership. </w:t>
      </w:r>
    </w:p>
    <w:p w14:paraId="0C686E7A" w14:textId="77777777" w:rsidR="00A552AE" w:rsidRPr="00CF3501" w:rsidRDefault="00A552AE" w:rsidP="00CF3501">
      <w:pPr>
        <w:spacing w:line="240" w:lineRule="auto"/>
        <w:rPr>
          <w:rFonts w:ascii="Arial" w:hAnsi="Arial" w:cs="Arial"/>
        </w:rPr>
      </w:pPr>
      <w:r w:rsidRPr="00CF3501">
        <w:rPr>
          <w:rFonts w:ascii="Arial" w:hAnsi="Arial" w:cs="Arial"/>
        </w:rPr>
        <w:t xml:space="preserve">While the merging parties both own retail space in the Eastern Cape, the Commission is of the view that the merger would not lessen competition in that province. </w:t>
      </w:r>
    </w:p>
    <w:p w14:paraId="1D630428" w14:textId="77777777" w:rsidR="00A552AE" w:rsidRPr="00CF3501" w:rsidRDefault="00A552AE" w:rsidP="00CF3501">
      <w:pPr>
        <w:spacing w:line="240" w:lineRule="auto"/>
        <w:rPr>
          <w:rFonts w:ascii="Arial" w:hAnsi="Arial" w:cs="Arial"/>
          <w:b/>
        </w:rPr>
      </w:pPr>
      <w:proofErr w:type="spellStart"/>
      <w:r w:rsidRPr="00CF3501">
        <w:rPr>
          <w:rFonts w:ascii="Arial" w:hAnsi="Arial" w:cs="Arial"/>
          <w:b/>
        </w:rPr>
        <w:t>Ros</w:t>
      </w:r>
      <w:r w:rsidR="00623B05" w:rsidRPr="00CF3501">
        <w:rPr>
          <w:rFonts w:ascii="Arial" w:hAnsi="Arial" w:cs="Arial"/>
          <w:b/>
        </w:rPr>
        <w:t>ewild</w:t>
      </w:r>
      <w:proofErr w:type="spellEnd"/>
      <w:r w:rsidR="00623B05" w:rsidRPr="00CF3501">
        <w:rPr>
          <w:rFonts w:ascii="Arial" w:hAnsi="Arial" w:cs="Arial"/>
          <w:b/>
        </w:rPr>
        <w:t xml:space="preserve"> Trade and Invest </w:t>
      </w:r>
      <w:r w:rsidRPr="00CF3501">
        <w:rPr>
          <w:rFonts w:ascii="Arial" w:hAnsi="Arial" w:cs="Arial"/>
          <w:b/>
        </w:rPr>
        <w:t>merger with Chlor-Alkali Holdings</w:t>
      </w:r>
      <w:r w:rsidR="00C26F77">
        <w:rPr>
          <w:rFonts w:ascii="Arial" w:hAnsi="Arial" w:cs="Arial"/>
          <w:b/>
        </w:rPr>
        <w:t xml:space="preserve"> given approval</w:t>
      </w:r>
    </w:p>
    <w:p w14:paraId="7AA33118" w14:textId="77777777" w:rsidR="005551FE" w:rsidRDefault="00A552AE" w:rsidP="00CF3501">
      <w:pPr>
        <w:spacing w:line="240" w:lineRule="auto"/>
        <w:rPr>
          <w:rFonts w:ascii="Arial" w:hAnsi="Arial" w:cs="Arial"/>
        </w:rPr>
      </w:pPr>
      <w:r w:rsidRPr="00CF3501">
        <w:rPr>
          <w:rFonts w:ascii="Arial" w:hAnsi="Arial" w:cs="Arial"/>
        </w:rPr>
        <w:t xml:space="preserve">Acquiring firm </w:t>
      </w:r>
      <w:proofErr w:type="spellStart"/>
      <w:r w:rsidRPr="00CF3501">
        <w:rPr>
          <w:rFonts w:ascii="Arial" w:hAnsi="Arial" w:cs="Arial"/>
        </w:rPr>
        <w:t>Rosewild</w:t>
      </w:r>
      <w:proofErr w:type="spellEnd"/>
      <w:r w:rsidRPr="00CF3501">
        <w:rPr>
          <w:rFonts w:ascii="Arial" w:hAnsi="Arial" w:cs="Arial"/>
        </w:rPr>
        <w:t xml:space="preserve"> Trade and Invest (Pty) Ltd is a wholly-owned subsidiary of Investec Equity Partners Portfolio 1 (Pty) Ltd (IEPP1), which is ultimately controlled by listed company Investec Ltd. The merging party is Chlor-Alkali Holdings (Pty) Ltd (CAH).</w:t>
      </w:r>
      <w:r w:rsidR="005551FE">
        <w:rPr>
          <w:rFonts w:ascii="Arial" w:hAnsi="Arial" w:cs="Arial"/>
        </w:rPr>
        <w:t xml:space="preserve"> The merger was approved without conditions by the Tribunal. </w:t>
      </w:r>
    </w:p>
    <w:p w14:paraId="619F5942" w14:textId="77777777" w:rsidR="00A552AE" w:rsidRPr="00CF3501" w:rsidRDefault="00A552AE" w:rsidP="00CF3501">
      <w:pPr>
        <w:spacing w:line="240" w:lineRule="auto"/>
        <w:rPr>
          <w:rFonts w:ascii="Arial" w:hAnsi="Arial" w:cs="Arial"/>
        </w:rPr>
      </w:pPr>
      <w:r w:rsidRPr="00CF3501">
        <w:rPr>
          <w:rFonts w:ascii="Arial" w:hAnsi="Arial" w:cs="Arial"/>
        </w:rPr>
        <w:t xml:space="preserve">IEPP1 already has some holding in CAH. </w:t>
      </w:r>
    </w:p>
    <w:p w14:paraId="3930166A" w14:textId="77777777" w:rsidR="00A552AE" w:rsidRPr="00CF3501" w:rsidRDefault="00A552AE" w:rsidP="00CF3501">
      <w:pPr>
        <w:spacing w:line="240" w:lineRule="auto"/>
        <w:rPr>
          <w:rFonts w:ascii="Arial" w:hAnsi="Arial" w:cs="Arial"/>
        </w:rPr>
      </w:pPr>
      <w:r w:rsidRPr="00CF3501">
        <w:rPr>
          <w:rFonts w:ascii="Arial" w:hAnsi="Arial" w:cs="Arial"/>
        </w:rPr>
        <w:t xml:space="preserve">Both companies are involved in the manufacture, import and distribution of chemicals. Of concern to the Commission was the overlap between the merging companies in the supply </w:t>
      </w:r>
      <w:proofErr w:type="gramStart"/>
      <w:r w:rsidRPr="00CF3501">
        <w:rPr>
          <w:rFonts w:ascii="Arial" w:hAnsi="Arial" w:cs="Arial"/>
        </w:rPr>
        <w:t>of  dense</w:t>
      </w:r>
      <w:proofErr w:type="gramEnd"/>
      <w:r w:rsidRPr="00CF3501">
        <w:rPr>
          <w:rFonts w:ascii="Arial" w:hAnsi="Arial" w:cs="Arial"/>
        </w:rPr>
        <w:t xml:space="preserve"> soda ash, light soda ash, caustic soda flakes and flocculants. Commission </w:t>
      </w:r>
      <w:r w:rsidR="00CF3501">
        <w:rPr>
          <w:rFonts w:ascii="Arial" w:hAnsi="Arial" w:cs="Arial"/>
        </w:rPr>
        <w:t>said</w:t>
      </w:r>
      <w:r w:rsidR="005551FE">
        <w:rPr>
          <w:rFonts w:ascii="Arial" w:hAnsi="Arial" w:cs="Arial"/>
        </w:rPr>
        <w:t>, however,</w:t>
      </w:r>
      <w:r w:rsidR="00CF3501">
        <w:rPr>
          <w:rFonts w:ascii="Arial" w:hAnsi="Arial" w:cs="Arial"/>
        </w:rPr>
        <w:t xml:space="preserve"> </w:t>
      </w:r>
      <w:r w:rsidRPr="00CF3501">
        <w:rPr>
          <w:rFonts w:ascii="Arial" w:hAnsi="Arial" w:cs="Arial"/>
        </w:rPr>
        <w:t xml:space="preserve">its investigation revealed there was sufficient competition in the market to allow the merger to be approved without conditions. </w:t>
      </w:r>
    </w:p>
    <w:p w14:paraId="04D8A765" w14:textId="77777777" w:rsidR="00751CB0" w:rsidRPr="00751CB0" w:rsidRDefault="00C26F77" w:rsidP="00751CB0">
      <w:pPr>
        <w:jc w:val="both"/>
        <w:rPr>
          <w:rFonts w:ascii="Arial" w:hAnsi="Arial" w:cs="Arial"/>
          <w:b/>
        </w:rPr>
      </w:pPr>
      <w:r>
        <w:rPr>
          <w:rFonts w:ascii="Arial" w:hAnsi="Arial" w:cs="Arial"/>
          <w:b/>
        </w:rPr>
        <w:t xml:space="preserve">Bidvest Group to merge with </w:t>
      </w:r>
      <w:proofErr w:type="spellStart"/>
      <w:r w:rsidR="00751CB0" w:rsidRPr="00751CB0">
        <w:rPr>
          <w:rFonts w:ascii="Arial" w:hAnsi="Arial" w:cs="Arial"/>
          <w:b/>
        </w:rPr>
        <w:t>Brandcorp</w:t>
      </w:r>
      <w:proofErr w:type="spellEnd"/>
      <w:r w:rsidR="00751CB0" w:rsidRPr="00751CB0">
        <w:rPr>
          <w:rFonts w:ascii="Arial" w:hAnsi="Arial" w:cs="Arial"/>
          <w:b/>
        </w:rPr>
        <w:t xml:space="preserve"> Holdings </w:t>
      </w:r>
    </w:p>
    <w:p w14:paraId="069A7ABA" w14:textId="77777777" w:rsidR="00751CB0" w:rsidRDefault="0020462A" w:rsidP="00751CB0">
      <w:pPr>
        <w:jc w:val="both"/>
        <w:rPr>
          <w:rFonts w:ascii="Arial" w:hAnsi="Arial" w:cs="Arial"/>
        </w:rPr>
      </w:pPr>
      <w:r>
        <w:rPr>
          <w:rFonts w:ascii="Arial" w:hAnsi="Arial" w:cs="Arial"/>
        </w:rPr>
        <w:t xml:space="preserve">The Tribunal has approved without conditions the merger between </w:t>
      </w:r>
      <w:r w:rsidR="00751CB0">
        <w:rPr>
          <w:rFonts w:ascii="Arial" w:hAnsi="Arial" w:cs="Arial"/>
        </w:rPr>
        <w:t xml:space="preserve">acquiring firm is listed company Bidvest Group Ltd (“Bidvest”), and the target firm </w:t>
      </w:r>
      <w:proofErr w:type="spellStart"/>
      <w:r w:rsidR="00751CB0">
        <w:rPr>
          <w:rFonts w:ascii="Arial" w:hAnsi="Arial" w:cs="Arial"/>
        </w:rPr>
        <w:t>Brandcorp</w:t>
      </w:r>
      <w:proofErr w:type="spellEnd"/>
      <w:r w:rsidR="00751CB0">
        <w:rPr>
          <w:rFonts w:ascii="Arial" w:hAnsi="Arial" w:cs="Arial"/>
        </w:rPr>
        <w:t xml:space="preserve"> Holdings (Pty) Ltd (“</w:t>
      </w:r>
      <w:proofErr w:type="spellStart"/>
      <w:r w:rsidR="00751CB0">
        <w:rPr>
          <w:rFonts w:ascii="Arial" w:hAnsi="Arial" w:cs="Arial"/>
        </w:rPr>
        <w:t>Brandcorp</w:t>
      </w:r>
      <w:proofErr w:type="spellEnd"/>
      <w:r w:rsidR="00751CB0">
        <w:rPr>
          <w:rFonts w:ascii="Arial" w:hAnsi="Arial" w:cs="Arial"/>
        </w:rPr>
        <w:t xml:space="preserve">”), controlled by Ethos Private Equity Fund V. </w:t>
      </w:r>
    </w:p>
    <w:p w14:paraId="6F62EB6A" w14:textId="77777777" w:rsidR="00751CB0" w:rsidRDefault="00751CB0" w:rsidP="00751CB0">
      <w:pPr>
        <w:jc w:val="both"/>
        <w:rPr>
          <w:rFonts w:ascii="Arial" w:hAnsi="Arial" w:cs="Arial"/>
        </w:rPr>
      </w:pPr>
      <w:r>
        <w:rPr>
          <w:rFonts w:ascii="Arial" w:hAnsi="Arial" w:cs="Arial"/>
          <w:szCs w:val="24"/>
        </w:rPr>
        <w:t xml:space="preserve">Bidvest and </w:t>
      </w:r>
      <w:proofErr w:type="spellStart"/>
      <w:r>
        <w:rPr>
          <w:rFonts w:ascii="Arial" w:hAnsi="Arial" w:cs="Arial"/>
          <w:szCs w:val="24"/>
        </w:rPr>
        <w:t>Brandcorp</w:t>
      </w:r>
      <w:proofErr w:type="spellEnd"/>
      <w:r>
        <w:rPr>
          <w:rFonts w:ascii="Arial" w:hAnsi="Arial" w:cs="Arial"/>
          <w:szCs w:val="24"/>
        </w:rPr>
        <w:t xml:space="preserve"> are both distributors of various products which are used for different purposes in numerous industries such as agricultural, construction, engineering, industrial and </w:t>
      </w:r>
      <w:r>
        <w:rPr>
          <w:rFonts w:ascii="Arial" w:hAnsi="Arial" w:cs="Arial"/>
          <w:szCs w:val="24"/>
        </w:rPr>
        <w:lastRenderedPageBreak/>
        <w:t xml:space="preserve">mining. Bidvest and </w:t>
      </w:r>
      <w:proofErr w:type="spellStart"/>
      <w:r>
        <w:rPr>
          <w:rFonts w:ascii="Arial" w:hAnsi="Arial" w:cs="Arial"/>
          <w:szCs w:val="24"/>
        </w:rPr>
        <w:t>Brandcorp</w:t>
      </w:r>
      <w:proofErr w:type="spellEnd"/>
      <w:r>
        <w:rPr>
          <w:rFonts w:ascii="Arial" w:hAnsi="Arial" w:cs="Arial"/>
          <w:szCs w:val="24"/>
        </w:rPr>
        <w:t xml:space="preserve"> are not involved in the manufacturing of these products but source them from local and international suppliers. </w:t>
      </w:r>
    </w:p>
    <w:p w14:paraId="40EE240A" w14:textId="77777777" w:rsidR="0020462A" w:rsidRDefault="00751CB0" w:rsidP="00751CB0">
      <w:pPr>
        <w:jc w:val="both"/>
        <w:rPr>
          <w:rFonts w:ascii="Arial" w:hAnsi="Arial" w:cs="Arial"/>
        </w:rPr>
      </w:pPr>
      <w:r>
        <w:rPr>
          <w:rFonts w:ascii="Arial" w:hAnsi="Arial" w:cs="Arial"/>
        </w:rPr>
        <w:t>The Commission</w:t>
      </w:r>
      <w:r w:rsidR="0020462A">
        <w:rPr>
          <w:rFonts w:ascii="Arial" w:hAnsi="Arial" w:cs="Arial"/>
        </w:rPr>
        <w:t xml:space="preserve"> recommended the unconditional approval of the merger despite finding </w:t>
      </w:r>
      <w:r>
        <w:rPr>
          <w:rFonts w:ascii="Arial" w:hAnsi="Arial" w:cs="Arial"/>
        </w:rPr>
        <w:t xml:space="preserve">horizontal overlaps in the business activities of the merging parties in the market for the wholesale and distribution of the following products: electric power tools, general tools and hardware, locks, water pumps, generators, fasteners and fittings, tapes, table and kitchenware, personal protective clothing and general lighting. </w:t>
      </w:r>
    </w:p>
    <w:p w14:paraId="0AE96815" w14:textId="77777777" w:rsidR="00751CB0" w:rsidRDefault="00751CB0" w:rsidP="00751CB0">
      <w:pPr>
        <w:jc w:val="both"/>
        <w:rPr>
          <w:rFonts w:ascii="Arial" w:hAnsi="Arial" w:cs="Arial"/>
        </w:rPr>
      </w:pPr>
      <w:r>
        <w:rPr>
          <w:rFonts w:ascii="Arial" w:hAnsi="Arial" w:cs="Arial"/>
        </w:rPr>
        <w:t xml:space="preserve">It </w:t>
      </w:r>
      <w:r w:rsidR="0020462A">
        <w:rPr>
          <w:rFonts w:ascii="Arial" w:hAnsi="Arial" w:cs="Arial"/>
        </w:rPr>
        <w:t xml:space="preserve">had </w:t>
      </w:r>
      <w:r>
        <w:rPr>
          <w:rFonts w:ascii="Arial" w:hAnsi="Arial" w:cs="Arial"/>
        </w:rPr>
        <w:t xml:space="preserve">determined, however, that there is sufficient competition in the market to ensure that the merger will not impact on customers. </w:t>
      </w:r>
    </w:p>
    <w:p w14:paraId="374A95F1" w14:textId="77777777" w:rsidR="00974985" w:rsidRDefault="00C26F77" w:rsidP="00CF3501">
      <w:pPr>
        <w:spacing w:line="240" w:lineRule="auto"/>
        <w:rPr>
          <w:rFonts w:ascii="Arial" w:hAnsi="Arial" w:cs="Arial"/>
          <w:b/>
        </w:rPr>
      </w:pPr>
      <w:r>
        <w:rPr>
          <w:rFonts w:ascii="Arial" w:hAnsi="Arial" w:cs="Arial"/>
          <w:b/>
        </w:rPr>
        <w:t xml:space="preserve">Tribunal to consider </w:t>
      </w:r>
      <w:proofErr w:type="spellStart"/>
      <w:r w:rsidR="00623B05" w:rsidRPr="00CF3501">
        <w:rPr>
          <w:rFonts w:ascii="Arial" w:hAnsi="Arial" w:cs="Arial"/>
          <w:b/>
        </w:rPr>
        <w:t>Casalinga</w:t>
      </w:r>
      <w:proofErr w:type="spellEnd"/>
      <w:r w:rsidR="00623B05" w:rsidRPr="00CF3501">
        <w:rPr>
          <w:rFonts w:ascii="Arial" w:hAnsi="Arial" w:cs="Arial"/>
          <w:b/>
        </w:rPr>
        <w:t xml:space="preserve"> Investments</w:t>
      </w:r>
      <w:r>
        <w:rPr>
          <w:rFonts w:ascii="Arial" w:hAnsi="Arial" w:cs="Arial"/>
          <w:b/>
        </w:rPr>
        <w:t>’ exceptio</w:t>
      </w:r>
      <w:r w:rsidR="00974985">
        <w:rPr>
          <w:rFonts w:ascii="Arial" w:hAnsi="Arial" w:cs="Arial"/>
          <w:b/>
        </w:rPr>
        <w:t>n application</w:t>
      </w:r>
      <w:r w:rsidR="00623B05" w:rsidRPr="00CF3501">
        <w:rPr>
          <w:rFonts w:ascii="Arial" w:hAnsi="Arial" w:cs="Arial"/>
          <w:b/>
        </w:rPr>
        <w:t xml:space="preserve"> </w:t>
      </w:r>
    </w:p>
    <w:p w14:paraId="43670DC0" w14:textId="77777777" w:rsidR="00C26F77" w:rsidRDefault="00623B05" w:rsidP="00CF3501">
      <w:pPr>
        <w:spacing w:line="240" w:lineRule="auto"/>
        <w:rPr>
          <w:rFonts w:ascii="Arial" w:hAnsi="Arial" w:cs="Arial"/>
        </w:rPr>
      </w:pPr>
      <w:r w:rsidRPr="00CF3501">
        <w:rPr>
          <w:rFonts w:ascii="Arial" w:hAnsi="Arial" w:cs="Arial"/>
        </w:rPr>
        <w:t xml:space="preserve">The Tribunal </w:t>
      </w:r>
      <w:r w:rsidR="000E3415">
        <w:rPr>
          <w:rFonts w:ascii="Arial" w:hAnsi="Arial" w:cs="Arial"/>
        </w:rPr>
        <w:t xml:space="preserve">today (31 August) </w:t>
      </w:r>
      <w:r w:rsidR="00C26F77">
        <w:rPr>
          <w:rFonts w:ascii="Arial" w:hAnsi="Arial" w:cs="Arial"/>
        </w:rPr>
        <w:t xml:space="preserve">heard an </w:t>
      </w:r>
      <w:r w:rsidRPr="00CF3501">
        <w:rPr>
          <w:rFonts w:ascii="Arial" w:hAnsi="Arial" w:cs="Arial"/>
        </w:rPr>
        <w:t xml:space="preserve">exception application from </w:t>
      </w:r>
      <w:proofErr w:type="spellStart"/>
      <w:r w:rsidRPr="00CF3501">
        <w:rPr>
          <w:rFonts w:ascii="Arial" w:hAnsi="Arial" w:cs="Arial"/>
        </w:rPr>
        <w:t>Casalinga</w:t>
      </w:r>
      <w:proofErr w:type="spellEnd"/>
      <w:r w:rsidRPr="00CF3501">
        <w:rPr>
          <w:rFonts w:ascii="Arial" w:hAnsi="Arial" w:cs="Arial"/>
        </w:rPr>
        <w:t xml:space="preserve"> Investments, trading as Waste Rite, against the Competition Commission’s founding affidavit that Waste Rite </w:t>
      </w:r>
      <w:r w:rsidR="000E3415">
        <w:rPr>
          <w:rFonts w:ascii="Arial" w:hAnsi="Arial" w:cs="Arial"/>
        </w:rPr>
        <w:t xml:space="preserve">had engaged in price fixing and collusion, as well as another </w:t>
      </w:r>
      <w:r w:rsidRPr="00CF3501">
        <w:rPr>
          <w:rFonts w:ascii="Arial" w:hAnsi="Arial" w:cs="Arial"/>
        </w:rPr>
        <w:t>supplier of plant and equipment hire in respect of waste management</w:t>
      </w:r>
      <w:r w:rsidR="00CF3501">
        <w:rPr>
          <w:rFonts w:ascii="Arial" w:hAnsi="Arial" w:cs="Arial"/>
        </w:rPr>
        <w:t xml:space="preserve"> had</w:t>
      </w:r>
      <w:r w:rsidRPr="00CF3501">
        <w:rPr>
          <w:rFonts w:ascii="Arial" w:hAnsi="Arial" w:cs="Arial"/>
        </w:rPr>
        <w:t xml:space="preserve"> engaged in price fixing and collusion. </w:t>
      </w:r>
    </w:p>
    <w:p w14:paraId="6387585D" w14:textId="77777777" w:rsidR="00623B05" w:rsidRPr="00CF3501" w:rsidRDefault="00C26F77" w:rsidP="00CF3501">
      <w:pPr>
        <w:spacing w:line="240" w:lineRule="auto"/>
        <w:rPr>
          <w:rFonts w:ascii="Arial" w:hAnsi="Arial" w:cs="Arial"/>
        </w:rPr>
      </w:pPr>
      <w:r>
        <w:rPr>
          <w:rFonts w:ascii="Arial" w:hAnsi="Arial" w:cs="Arial"/>
        </w:rPr>
        <w:t xml:space="preserve">The Tribunal is considering the exception application and a decision will be issued in due course. </w:t>
      </w:r>
      <w:r w:rsidR="00623B05" w:rsidRPr="00CF3501">
        <w:rPr>
          <w:rFonts w:ascii="Arial" w:hAnsi="Arial" w:cs="Arial"/>
        </w:rPr>
        <w:t xml:space="preserve"> </w:t>
      </w:r>
    </w:p>
    <w:p w14:paraId="5A55CAEA" w14:textId="77777777" w:rsidR="00623B05" w:rsidRPr="00CF3501" w:rsidRDefault="00C26F77" w:rsidP="00CF3501">
      <w:pPr>
        <w:spacing w:line="240" w:lineRule="auto"/>
        <w:rPr>
          <w:rFonts w:ascii="Arial" w:hAnsi="Arial" w:cs="Arial"/>
        </w:rPr>
      </w:pPr>
      <w:r>
        <w:rPr>
          <w:rFonts w:ascii="Arial" w:hAnsi="Arial" w:cs="Arial"/>
        </w:rPr>
        <w:t>Waste Rite argued</w:t>
      </w:r>
      <w:r w:rsidR="00623B05" w:rsidRPr="00CF3501">
        <w:rPr>
          <w:rFonts w:ascii="Arial" w:hAnsi="Arial" w:cs="Arial"/>
        </w:rPr>
        <w:t xml:space="preserve"> that the affidavit does not contain information to support the </w:t>
      </w:r>
      <w:r>
        <w:rPr>
          <w:rFonts w:ascii="Arial" w:hAnsi="Arial" w:cs="Arial"/>
        </w:rPr>
        <w:t xml:space="preserve">Commission’s </w:t>
      </w:r>
      <w:r w:rsidR="00623B05" w:rsidRPr="00CF3501">
        <w:rPr>
          <w:rFonts w:ascii="Arial" w:hAnsi="Arial" w:cs="Arial"/>
        </w:rPr>
        <w:t xml:space="preserve">allegations against it. </w:t>
      </w:r>
    </w:p>
    <w:p w14:paraId="285658C3"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in its affidavit, relied on the fact that pricing schedules submitted by Waste Rite and another company contained the same prices for three consecutive years. </w:t>
      </w:r>
    </w:p>
    <w:p w14:paraId="1397FDF2" w14:textId="77777777" w:rsidR="00623B05" w:rsidRPr="00CF3501" w:rsidRDefault="00623B05" w:rsidP="00CF3501">
      <w:pPr>
        <w:spacing w:line="240" w:lineRule="auto"/>
        <w:jc w:val="both"/>
        <w:rPr>
          <w:rFonts w:ascii="Arial" w:hAnsi="Arial" w:cs="Arial"/>
        </w:rPr>
      </w:pPr>
      <w:r w:rsidRPr="00CF3501">
        <w:rPr>
          <w:rFonts w:ascii="Arial" w:hAnsi="Arial" w:cs="Arial"/>
        </w:rPr>
        <w:t xml:space="preserve">The Commission referred a complaint to the Tribunal alleging WR and </w:t>
      </w:r>
      <w:proofErr w:type="spellStart"/>
      <w:r w:rsidRPr="00CF3501">
        <w:rPr>
          <w:rFonts w:ascii="Arial" w:hAnsi="Arial" w:cs="Arial"/>
        </w:rPr>
        <w:t>Crossmoor</w:t>
      </w:r>
      <w:proofErr w:type="spellEnd"/>
      <w:r w:rsidRPr="00CF3501">
        <w:rPr>
          <w:rFonts w:ascii="Arial" w:hAnsi="Arial" w:cs="Arial"/>
        </w:rPr>
        <w:t xml:space="preserve"> Transport were involved in collusive tendering by colluding and submitting fixed prices to a tenderer contravening the Competition Act Section 4(1)(b)(i)/(ii).</w:t>
      </w:r>
    </w:p>
    <w:p w14:paraId="48F5DCDE" w14:textId="77777777" w:rsidR="00623B05" w:rsidRPr="00CF3501" w:rsidRDefault="00623B05" w:rsidP="00CF3501">
      <w:pPr>
        <w:spacing w:line="240" w:lineRule="auto"/>
        <w:rPr>
          <w:rFonts w:ascii="Arial" w:hAnsi="Arial" w:cs="Arial"/>
          <w:b/>
        </w:rPr>
      </w:pPr>
      <w:r w:rsidRPr="00CF3501">
        <w:rPr>
          <w:rFonts w:ascii="Arial" w:hAnsi="Arial" w:cs="Arial"/>
          <w:b/>
        </w:rPr>
        <w:t>Pelagic Fish Association admits to price fixing and market division</w:t>
      </w:r>
    </w:p>
    <w:p w14:paraId="1B271415" w14:textId="77777777" w:rsidR="00623B05" w:rsidRPr="00CF3501" w:rsidRDefault="00C26F77" w:rsidP="00CF3501">
      <w:pPr>
        <w:spacing w:line="240" w:lineRule="auto"/>
        <w:rPr>
          <w:rFonts w:ascii="Arial" w:hAnsi="Arial" w:cs="Arial"/>
        </w:rPr>
      </w:pPr>
      <w:r>
        <w:rPr>
          <w:rFonts w:ascii="Arial" w:hAnsi="Arial" w:cs="Arial"/>
        </w:rPr>
        <w:t xml:space="preserve">A </w:t>
      </w:r>
      <w:r w:rsidR="00623B05" w:rsidRPr="00CF3501">
        <w:rPr>
          <w:rFonts w:ascii="Arial" w:hAnsi="Arial" w:cs="Arial"/>
        </w:rPr>
        <w:t xml:space="preserve">settlement agreement </w:t>
      </w:r>
      <w:r>
        <w:rPr>
          <w:rFonts w:ascii="Arial" w:hAnsi="Arial" w:cs="Arial"/>
        </w:rPr>
        <w:t xml:space="preserve">between </w:t>
      </w:r>
      <w:r w:rsidR="00623B05" w:rsidRPr="00CF3501">
        <w:rPr>
          <w:rFonts w:ascii="Arial" w:hAnsi="Arial" w:cs="Arial"/>
        </w:rPr>
        <w:t>the South African Pelagic Fish Processors Association (SAFPPA)</w:t>
      </w:r>
      <w:r>
        <w:rPr>
          <w:rFonts w:ascii="Arial" w:hAnsi="Arial" w:cs="Arial"/>
        </w:rPr>
        <w:t xml:space="preserve"> and the Commission was confirmed by the Tribunal. In terms of the agreement, SAFPPA has agreed to pay a penalty </w:t>
      </w:r>
      <w:r w:rsidR="00623B05" w:rsidRPr="00CF3501">
        <w:rPr>
          <w:rFonts w:ascii="Arial" w:hAnsi="Arial" w:cs="Arial"/>
        </w:rPr>
        <w:t>for its part in the price fixing and market division in relation to pelagic fish.*</w:t>
      </w:r>
    </w:p>
    <w:p w14:paraId="453A1E87" w14:textId="77777777" w:rsidR="00623B05" w:rsidRPr="00CF3501" w:rsidRDefault="00623B05" w:rsidP="00CF3501">
      <w:pPr>
        <w:spacing w:line="240" w:lineRule="auto"/>
        <w:rPr>
          <w:rFonts w:ascii="Arial" w:hAnsi="Arial" w:cs="Arial"/>
        </w:rPr>
      </w:pPr>
      <w:r w:rsidRPr="00CF3501">
        <w:rPr>
          <w:rFonts w:ascii="Arial" w:hAnsi="Arial" w:cs="Arial"/>
        </w:rPr>
        <w:t xml:space="preserve">The penalty with SAFPPA follows a complaint initiated by the Commission in 8 July 2008, and amended in 2012 and 2013 to include additional companies. </w:t>
      </w:r>
    </w:p>
    <w:p w14:paraId="61B20406" w14:textId="77777777" w:rsidR="00623B05" w:rsidRPr="00CF3501" w:rsidRDefault="00623B05" w:rsidP="00CF3501">
      <w:pPr>
        <w:spacing w:line="240" w:lineRule="auto"/>
        <w:rPr>
          <w:rFonts w:ascii="Arial" w:hAnsi="Arial" w:cs="Arial"/>
        </w:rPr>
      </w:pPr>
      <w:r w:rsidRPr="00CF3501">
        <w:rPr>
          <w:rFonts w:ascii="Arial" w:hAnsi="Arial" w:cs="Arial"/>
        </w:rPr>
        <w:t xml:space="preserve">In this regard the Commission has already concluded agreements with Premier Fishing, (R2,2 million) and over R4 million for Saldanha Foods (Pty) Ltd. </w:t>
      </w:r>
    </w:p>
    <w:p w14:paraId="05513200"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found that firms who were members of SAFPPA, took a decision in meetings in 1999 and 2010 meetings to implement the historical raw fish price formula as payment for the service of catching raw pelagic fish, and this was implemented by companies in the sector whether they attended that meeting or not. </w:t>
      </w:r>
    </w:p>
    <w:p w14:paraId="16F7D8FC" w14:textId="77777777" w:rsidR="00623B05" w:rsidRPr="00CF3501" w:rsidRDefault="00623B05" w:rsidP="00CF3501">
      <w:pPr>
        <w:spacing w:line="240" w:lineRule="auto"/>
        <w:rPr>
          <w:rFonts w:ascii="Arial" w:hAnsi="Arial" w:cs="Arial"/>
        </w:rPr>
      </w:pPr>
      <w:r w:rsidRPr="00CF3501">
        <w:rPr>
          <w:rFonts w:ascii="Arial" w:hAnsi="Arial" w:cs="Arial"/>
        </w:rPr>
        <w:t xml:space="preserve">It also </w:t>
      </w:r>
      <w:r w:rsidR="00C26F77">
        <w:rPr>
          <w:rFonts w:ascii="Arial" w:hAnsi="Arial" w:cs="Arial"/>
        </w:rPr>
        <w:t xml:space="preserve">said </w:t>
      </w:r>
      <w:r w:rsidRPr="00CF3501">
        <w:rPr>
          <w:rFonts w:ascii="Arial" w:hAnsi="Arial" w:cs="Arial"/>
        </w:rPr>
        <w:t xml:space="preserve">that during SAPFPA meetings </w:t>
      </w:r>
      <w:r w:rsidR="00C26F77">
        <w:rPr>
          <w:rFonts w:ascii="Arial" w:hAnsi="Arial" w:cs="Arial"/>
        </w:rPr>
        <w:t xml:space="preserve">that </w:t>
      </w:r>
      <w:r w:rsidRPr="00CF3501">
        <w:rPr>
          <w:rFonts w:ascii="Arial" w:hAnsi="Arial" w:cs="Arial"/>
        </w:rPr>
        <w:t xml:space="preserve">sensitive </w:t>
      </w:r>
      <w:r w:rsidR="00C26F77">
        <w:rPr>
          <w:rFonts w:ascii="Arial" w:hAnsi="Arial" w:cs="Arial"/>
        </w:rPr>
        <w:t xml:space="preserve">information </w:t>
      </w:r>
      <w:r w:rsidRPr="00CF3501">
        <w:rPr>
          <w:rFonts w:ascii="Arial" w:hAnsi="Arial" w:cs="Arial"/>
        </w:rPr>
        <w:t xml:space="preserve">was exchanged between firms. </w:t>
      </w:r>
    </w:p>
    <w:p w14:paraId="3D4BEAC1" w14:textId="77777777" w:rsidR="00623B05" w:rsidRPr="00CF3501" w:rsidRDefault="00623B05" w:rsidP="00CF3501">
      <w:pPr>
        <w:spacing w:line="240" w:lineRule="auto"/>
        <w:rPr>
          <w:rFonts w:ascii="Arial" w:hAnsi="Arial" w:cs="Arial"/>
        </w:rPr>
      </w:pPr>
      <w:r w:rsidRPr="00CF3501">
        <w:rPr>
          <w:rFonts w:ascii="Arial" w:hAnsi="Arial" w:cs="Arial"/>
        </w:rPr>
        <w:t xml:space="preserve">SAFPPA has admitted to price fixing or dividing the market and has been fined R16 800.00, representing 8% of the association’s annual turnover. </w:t>
      </w:r>
    </w:p>
    <w:p w14:paraId="2479B23A" w14:textId="77777777" w:rsidR="00623B05" w:rsidRPr="00CF3501" w:rsidRDefault="00623B05" w:rsidP="00CF3501">
      <w:pPr>
        <w:spacing w:line="240" w:lineRule="auto"/>
        <w:rPr>
          <w:rFonts w:ascii="Arial" w:hAnsi="Arial" w:cs="Arial"/>
        </w:rPr>
      </w:pPr>
      <w:r w:rsidRPr="00CF3501">
        <w:rPr>
          <w:rStyle w:val="Emphasis"/>
          <w:rFonts w:ascii="Arial" w:hAnsi="Arial" w:cs="Arial"/>
          <w:b/>
          <w:bCs/>
          <w:color w:val="6A6A6A"/>
          <w:shd w:val="clear" w:color="auto" w:fill="FFFFFF"/>
        </w:rPr>
        <w:lastRenderedPageBreak/>
        <w:t>*Pelagic fish</w:t>
      </w:r>
      <w:r w:rsidRPr="00CF3501">
        <w:rPr>
          <w:rStyle w:val="apple-converted-space"/>
          <w:rFonts w:ascii="Arial" w:hAnsi="Arial" w:cs="Arial"/>
          <w:color w:val="545454"/>
          <w:shd w:val="clear" w:color="auto" w:fill="FFFFFF"/>
        </w:rPr>
        <w:t> </w:t>
      </w:r>
      <w:r w:rsidRPr="00CF3501">
        <w:rPr>
          <w:rFonts w:ascii="Arial" w:hAnsi="Arial" w:cs="Arial"/>
          <w:color w:val="545454"/>
          <w:shd w:val="clear" w:color="auto" w:fill="FFFFFF"/>
        </w:rPr>
        <w:t>live in a water column of coastal, ocean, and lake waters being neither close to the bottom nor near the shore</w:t>
      </w:r>
      <w:r w:rsidR="00CF3501" w:rsidRPr="00CF3501">
        <w:rPr>
          <w:rFonts w:ascii="Arial" w:hAnsi="Arial" w:cs="Arial"/>
          <w:color w:val="545454"/>
          <w:shd w:val="clear" w:color="auto" w:fill="FFFFFF"/>
        </w:rPr>
        <w:t>.</w:t>
      </w:r>
    </w:p>
    <w:p w14:paraId="6BB712D1"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6959BB28"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326DE8A4"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3D829FC3"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14:paraId="5737E0EB"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15BC727D"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7980D416" w14:textId="7C8AE551"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5E555669" w14:textId="77777777" w:rsidR="005E485B" w:rsidRPr="00CF3501" w:rsidRDefault="005E485B" w:rsidP="00CF3501">
      <w:pPr>
        <w:spacing w:after="0" w:line="240" w:lineRule="auto"/>
        <w:jc w:val="both"/>
        <w:rPr>
          <w:rFonts w:ascii="Arial" w:hAnsi="Arial" w:cs="Arial"/>
          <w:color w:val="000000"/>
        </w:rPr>
      </w:pPr>
    </w:p>
    <w:p w14:paraId="0AE0F541" w14:textId="77777777" w:rsidR="005E485B" w:rsidRPr="00CF3501" w:rsidRDefault="005E485B" w:rsidP="00CF3501">
      <w:pPr>
        <w:spacing w:after="0" w:line="240" w:lineRule="auto"/>
        <w:jc w:val="both"/>
        <w:rPr>
          <w:rFonts w:ascii="Arial" w:hAnsi="Arial" w:cs="Arial"/>
          <w:color w:val="000000"/>
        </w:rPr>
      </w:pPr>
    </w:p>
    <w:p w14:paraId="732D82CC"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3FFB130"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733D599F"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13A42B24"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1C17B9A8"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553A10A3" w14:textId="77777777"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2F9D164E" w14:textId="77777777" w:rsidR="003E6D12" w:rsidRDefault="00723463"/>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5B"/>
    <w:rsid w:val="000E3415"/>
    <w:rsid w:val="0020462A"/>
    <w:rsid w:val="00273559"/>
    <w:rsid w:val="002A5A09"/>
    <w:rsid w:val="004755EC"/>
    <w:rsid w:val="005551FE"/>
    <w:rsid w:val="005C26B1"/>
    <w:rsid w:val="005E485B"/>
    <w:rsid w:val="006134C9"/>
    <w:rsid w:val="00623B05"/>
    <w:rsid w:val="00751CB0"/>
    <w:rsid w:val="00974985"/>
    <w:rsid w:val="00A43465"/>
    <w:rsid w:val="00A5393A"/>
    <w:rsid w:val="00A552AE"/>
    <w:rsid w:val="00AA1AAC"/>
    <w:rsid w:val="00C26F77"/>
    <w:rsid w:val="00C8396C"/>
    <w:rsid w:val="00C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970"/>
  <w15:chartTrackingRefBased/>
  <w15:docId w15:val="{0FF74194-665D-483E-A859-715D917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5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85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85B"/>
    <w:rPr>
      <w:color w:val="0000FF"/>
      <w:u w:val="single"/>
    </w:rPr>
  </w:style>
  <w:style w:type="character" w:styleId="CommentReference">
    <w:name w:val="annotation reference"/>
    <w:basedOn w:val="DefaultParagraphFont"/>
    <w:uiPriority w:val="99"/>
    <w:semiHidden/>
    <w:unhideWhenUsed/>
    <w:rsid w:val="00C8396C"/>
    <w:rPr>
      <w:sz w:val="16"/>
      <w:szCs w:val="16"/>
    </w:rPr>
  </w:style>
  <w:style w:type="paragraph" w:styleId="CommentText">
    <w:name w:val="annotation text"/>
    <w:basedOn w:val="Normal"/>
    <w:link w:val="CommentTextChar"/>
    <w:uiPriority w:val="99"/>
    <w:semiHidden/>
    <w:unhideWhenUsed/>
    <w:rsid w:val="00C839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8396C"/>
    <w:rPr>
      <w:sz w:val="20"/>
      <w:szCs w:val="20"/>
    </w:rPr>
  </w:style>
  <w:style w:type="paragraph" w:styleId="BalloonText">
    <w:name w:val="Balloon Text"/>
    <w:basedOn w:val="Normal"/>
    <w:link w:val="BalloonTextChar"/>
    <w:uiPriority w:val="99"/>
    <w:semiHidden/>
    <w:unhideWhenUsed/>
    <w:rsid w:val="00C8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6C"/>
    <w:rPr>
      <w:rFonts w:ascii="Segoe UI" w:hAnsi="Segoe UI" w:cs="Segoe UI"/>
      <w:sz w:val="18"/>
      <w:szCs w:val="18"/>
      <w:lang w:val="en-ZA"/>
    </w:rPr>
  </w:style>
  <w:style w:type="character" w:customStyle="1" w:styleId="apple-converted-space">
    <w:name w:val="apple-converted-space"/>
    <w:basedOn w:val="DefaultParagraphFont"/>
    <w:rsid w:val="00623B05"/>
  </w:style>
  <w:style w:type="character" w:styleId="Emphasis">
    <w:name w:val="Emphasis"/>
    <w:basedOn w:val="DefaultParagraphFont"/>
    <w:uiPriority w:val="20"/>
    <w:qFormat/>
    <w:rsid w:val="00623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639">
      <w:bodyDiv w:val="1"/>
      <w:marLeft w:val="0"/>
      <w:marRight w:val="0"/>
      <w:marTop w:val="0"/>
      <w:marBottom w:val="0"/>
      <w:divBdr>
        <w:top w:val="none" w:sz="0" w:space="0" w:color="auto"/>
        <w:left w:val="none" w:sz="0" w:space="0" w:color="auto"/>
        <w:bottom w:val="none" w:sz="0" w:space="0" w:color="auto"/>
        <w:right w:val="none" w:sz="0" w:space="0" w:color="auto"/>
      </w:divBdr>
    </w:div>
    <w:div w:id="149105254">
      <w:bodyDiv w:val="1"/>
      <w:marLeft w:val="0"/>
      <w:marRight w:val="0"/>
      <w:marTop w:val="0"/>
      <w:marBottom w:val="0"/>
      <w:divBdr>
        <w:top w:val="none" w:sz="0" w:space="0" w:color="auto"/>
        <w:left w:val="none" w:sz="0" w:space="0" w:color="auto"/>
        <w:bottom w:val="none" w:sz="0" w:space="0" w:color="auto"/>
        <w:right w:val="none" w:sz="0" w:space="0" w:color="auto"/>
      </w:divBdr>
    </w:div>
    <w:div w:id="188226678">
      <w:bodyDiv w:val="1"/>
      <w:marLeft w:val="0"/>
      <w:marRight w:val="0"/>
      <w:marTop w:val="0"/>
      <w:marBottom w:val="0"/>
      <w:divBdr>
        <w:top w:val="none" w:sz="0" w:space="0" w:color="auto"/>
        <w:left w:val="none" w:sz="0" w:space="0" w:color="auto"/>
        <w:bottom w:val="none" w:sz="0" w:space="0" w:color="auto"/>
        <w:right w:val="none" w:sz="0" w:space="0" w:color="auto"/>
      </w:divBdr>
    </w:div>
    <w:div w:id="412162435">
      <w:bodyDiv w:val="1"/>
      <w:marLeft w:val="0"/>
      <w:marRight w:val="0"/>
      <w:marTop w:val="0"/>
      <w:marBottom w:val="0"/>
      <w:divBdr>
        <w:top w:val="none" w:sz="0" w:space="0" w:color="auto"/>
        <w:left w:val="none" w:sz="0" w:space="0" w:color="auto"/>
        <w:bottom w:val="none" w:sz="0" w:space="0" w:color="auto"/>
        <w:right w:val="none" w:sz="0" w:space="0" w:color="auto"/>
      </w:divBdr>
    </w:div>
    <w:div w:id="1457681228">
      <w:bodyDiv w:val="1"/>
      <w:marLeft w:val="0"/>
      <w:marRight w:val="0"/>
      <w:marTop w:val="0"/>
      <w:marBottom w:val="0"/>
      <w:divBdr>
        <w:top w:val="none" w:sz="0" w:space="0" w:color="auto"/>
        <w:left w:val="none" w:sz="0" w:space="0" w:color="auto"/>
        <w:bottom w:val="none" w:sz="0" w:space="0" w:color="auto"/>
        <w:right w:val="none" w:sz="0" w:space="0" w:color="auto"/>
      </w:divBdr>
    </w:div>
    <w:div w:id="1662542912">
      <w:bodyDiv w:val="1"/>
      <w:marLeft w:val="0"/>
      <w:marRight w:val="0"/>
      <w:marTop w:val="0"/>
      <w:marBottom w:val="0"/>
      <w:divBdr>
        <w:top w:val="none" w:sz="0" w:space="0" w:color="auto"/>
        <w:left w:val="none" w:sz="0" w:space="0" w:color="auto"/>
        <w:bottom w:val="none" w:sz="0" w:space="0" w:color="auto"/>
        <w:right w:val="none" w:sz="0" w:space="0" w:color="auto"/>
      </w:divBdr>
    </w:div>
    <w:div w:id="17171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2019-04-24T16:02:00Z</dcterms:created>
  <dcterms:modified xsi:type="dcterms:W3CDTF">2019-04-24T16:02:00Z</dcterms:modified>
</cp:coreProperties>
</file>