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ABB2F" w14:textId="77777777" w:rsidR="00283AE6" w:rsidRPr="00966E5C" w:rsidRDefault="00283AE6" w:rsidP="00283AE6">
      <w:pPr>
        <w:spacing w:after="0" w:line="240" w:lineRule="auto"/>
        <w:jc w:val="center"/>
        <w:rPr>
          <w:rFonts w:ascii="Arial" w:hAnsi="Arial" w:cs="Arial"/>
          <w:b/>
        </w:rPr>
      </w:pPr>
      <w:bookmarkStart w:id="0" w:name="_GoBack"/>
      <w:bookmarkEnd w:id="0"/>
      <w:r w:rsidRPr="00966E5C">
        <w:rPr>
          <w:rFonts w:ascii="Arial" w:hAnsi="Arial" w:cs="Arial"/>
          <w:b/>
          <w:noProof/>
          <w:lang w:val="en-US"/>
        </w:rPr>
        <w:drawing>
          <wp:inline distT="0" distB="0" distL="0" distR="0" wp14:anchorId="39F3C455" wp14:editId="57BFBFE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32BF614" w14:textId="77777777" w:rsidR="00283AE6" w:rsidRPr="00966E5C" w:rsidRDefault="00283AE6" w:rsidP="00283AE6">
      <w:pPr>
        <w:spacing w:after="0" w:line="240" w:lineRule="auto"/>
        <w:jc w:val="center"/>
        <w:rPr>
          <w:rFonts w:ascii="Arial" w:hAnsi="Arial" w:cs="Arial"/>
          <w:b/>
        </w:rPr>
      </w:pPr>
    </w:p>
    <w:p w14:paraId="588C4EB5" w14:textId="77777777" w:rsidR="00283AE6" w:rsidRPr="00966E5C" w:rsidRDefault="00283AE6" w:rsidP="00283AE6">
      <w:pPr>
        <w:spacing w:after="0" w:line="240" w:lineRule="auto"/>
        <w:jc w:val="center"/>
        <w:rPr>
          <w:rFonts w:ascii="Arial" w:hAnsi="Arial" w:cs="Arial"/>
          <w:b/>
        </w:rPr>
      </w:pPr>
    </w:p>
    <w:p w14:paraId="19B44FBF" w14:textId="77777777" w:rsidR="00283AE6" w:rsidRPr="00966E5C" w:rsidRDefault="00283AE6" w:rsidP="00283AE6">
      <w:pPr>
        <w:spacing w:after="0" w:line="240" w:lineRule="auto"/>
        <w:jc w:val="center"/>
        <w:rPr>
          <w:rFonts w:ascii="Arial" w:hAnsi="Arial" w:cs="Arial"/>
          <w:b/>
        </w:rPr>
      </w:pPr>
    </w:p>
    <w:p w14:paraId="35640BA2" w14:textId="77777777" w:rsidR="00283AE6" w:rsidRPr="00966E5C" w:rsidRDefault="00283AE6" w:rsidP="00283AE6">
      <w:pPr>
        <w:spacing w:after="0" w:line="240" w:lineRule="auto"/>
        <w:jc w:val="center"/>
        <w:rPr>
          <w:rFonts w:ascii="Arial" w:hAnsi="Arial" w:cs="Arial"/>
          <w:b/>
        </w:rPr>
      </w:pPr>
      <w:r>
        <w:rPr>
          <w:rFonts w:ascii="Arial" w:hAnsi="Arial" w:cs="Arial"/>
          <w:b/>
        </w:rPr>
        <w:t xml:space="preserve">OUTCOME OF CASES ON </w:t>
      </w:r>
      <w:r w:rsidRPr="00966E5C">
        <w:rPr>
          <w:rFonts w:ascii="Arial" w:hAnsi="Arial" w:cs="Arial"/>
          <w:b/>
        </w:rPr>
        <w:t>TRIBUNAL ROLL FOR WEDNESDAY, 24 AUGUST 2016</w:t>
      </w:r>
    </w:p>
    <w:p w14:paraId="5A1F16FF" w14:textId="77777777" w:rsidR="00283AE6" w:rsidRPr="00966E5C" w:rsidRDefault="00283AE6" w:rsidP="00283AE6">
      <w:pPr>
        <w:spacing w:after="0" w:line="240" w:lineRule="auto"/>
        <w:jc w:val="both"/>
        <w:rPr>
          <w:rFonts w:ascii="Arial" w:hAnsi="Arial" w:cs="Arial"/>
          <w:b/>
        </w:rPr>
      </w:pPr>
    </w:p>
    <w:p w14:paraId="75C229F9" w14:textId="77777777" w:rsidR="00283AE6" w:rsidRPr="00966E5C" w:rsidRDefault="00283AE6" w:rsidP="00283AE6">
      <w:pPr>
        <w:spacing w:after="0" w:line="240" w:lineRule="auto"/>
        <w:jc w:val="both"/>
        <w:rPr>
          <w:rFonts w:ascii="Arial" w:hAnsi="Arial" w:cs="Arial"/>
          <w:b/>
        </w:rPr>
      </w:pPr>
    </w:p>
    <w:p w14:paraId="34D12088" w14:textId="77777777" w:rsidR="00283AE6" w:rsidRPr="00966E5C" w:rsidRDefault="00283AE6" w:rsidP="00283AE6">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283AE6" w:rsidRPr="00966E5C" w14:paraId="03772ED2" w14:textId="77777777" w:rsidTr="00F01CFD">
        <w:trPr>
          <w:trHeight w:val="972"/>
        </w:trPr>
        <w:tc>
          <w:tcPr>
            <w:tcW w:w="3153" w:type="dxa"/>
            <w:shd w:val="clear" w:color="auto" w:fill="996633"/>
          </w:tcPr>
          <w:p w14:paraId="55D9CA9C" w14:textId="77777777" w:rsidR="00283AE6" w:rsidRPr="00966E5C" w:rsidRDefault="00283AE6" w:rsidP="00F01CFD">
            <w:pPr>
              <w:rPr>
                <w:rFonts w:ascii="Arial" w:hAnsi="Arial" w:cs="Arial"/>
                <w:color w:val="FFFFFF" w:themeColor="background1"/>
              </w:rPr>
            </w:pPr>
            <w:r w:rsidRPr="00966E5C">
              <w:rPr>
                <w:rFonts w:ascii="Arial" w:hAnsi="Arial" w:cs="Arial"/>
                <w:color w:val="FFFFFF" w:themeColor="background1"/>
              </w:rPr>
              <w:t>Type of matter</w:t>
            </w:r>
          </w:p>
        </w:tc>
        <w:tc>
          <w:tcPr>
            <w:tcW w:w="3198" w:type="dxa"/>
            <w:shd w:val="clear" w:color="auto" w:fill="996633"/>
          </w:tcPr>
          <w:p w14:paraId="1F3EAE45" w14:textId="77777777" w:rsidR="00283AE6" w:rsidRPr="00966E5C" w:rsidRDefault="00283AE6" w:rsidP="00F01CFD">
            <w:pPr>
              <w:rPr>
                <w:rFonts w:ascii="Arial" w:hAnsi="Arial" w:cs="Arial"/>
                <w:color w:val="FFFFFF" w:themeColor="background1"/>
              </w:rPr>
            </w:pPr>
            <w:r w:rsidRPr="00966E5C">
              <w:rPr>
                <w:rFonts w:ascii="Arial" w:hAnsi="Arial" w:cs="Arial"/>
                <w:color w:val="FFFFFF" w:themeColor="background1"/>
              </w:rPr>
              <w:t>Parties involved</w:t>
            </w:r>
          </w:p>
        </w:tc>
        <w:tc>
          <w:tcPr>
            <w:tcW w:w="2873" w:type="dxa"/>
            <w:shd w:val="clear" w:color="auto" w:fill="996633"/>
          </w:tcPr>
          <w:p w14:paraId="42B0609D" w14:textId="77777777" w:rsidR="00283AE6" w:rsidRPr="00966E5C" w:rsidRDefault="00283AE6" w:rsidP="00F01CFD">
            <w:pPr>
              <w:rPr>
                <w:rFonts w:ascii="Arial" w:hAnsi="Arial" w:cs="Arial"/>
                <w:color w:val="FFFFFF" w:themeColor="background1"/>
              </w:rPr>
            </w:pPr>
            <w:r w:rsidRPr="00966E5C">
              <w:rPr>
                <w:rFonts w:ascii="Arial" w:hAnsi="Arial" w:cs="Arial"/>
                <w:color w:val="FFFFFF" w:themeColor="background1"/>
              </w:rPr>
              <w:t>Competition Commission’s recommendation to Tribunal</w:t>
            </w:r>
          </w:p>
        </w:tc>
      </w:tr>
      <w:tr w:rsidR="00283AE6" w:rsidRPr="00966E5C" w14:paraId="3E5FA5A5" w14:textId="77777777" w:rsidTr="00F01CFD">
        <w:trPr>
          <w:trHeight w:val="493"/>
        </w:trPr>
        <w:tc>
          <w:tcPr>
            <w:tcW w:w="3153" w:type="dxa"/>
          </w:tcPr>
          <w:p w14:paraId="0E4BE238" w14:textId="77777777" w:rsidR="00283AE6" w:rsidRPr="00966E5C" w:rsidRDefault="00283AE6" w:rsidP="00F01CFD">
            <w:pPr>
              <w:jc w:val="both"/>
              <w:rPr>
                <w:rFonts w:ascii="Arial" w:hAnsi="Arial" w:cs="Arial"/>
              </w:rPr>
            </w:pPr>
            <w:r w:rsidRPr="00966E5C">
              <w:rPr>
                <w:rFonts w:ascii="Arial" w:hAnsi="Arial" w:cs="Arial"/>
              </w:rPr>
              <w:t>Large merger</w:t>
            </w:r>
          </w:p>
        </w:tc>
        <w:tc>
          <w:tcPr>
            <w:tcW w:w="3198" w:type="dxa"/>
          </w:tcPr>
          <w:p w14:paraId="10322D1A" w14:textId="77777777" w:rsidR="00283AE6" w:rsidRPr="00966E5C" w:rsidRDefault="00283AE6" w:rsidP="00F01CFD">
            <w:pPr>
              <w:jc w:val="both"/>
              <w:rPr>
                <w:rFonts w:ascii="Arial" w:hAnsi="Arial" w:cs="Arial"/>
              </w:rPr>
            </w:pPr>
            <w:proofErr w:type="spellStart"/>
            <w:r w:rsidRPr="00966E5C">
              <w:rPr>
                <w:rFonts w:ascii="Arial" w:hAnsi="Arial" w:cs="Arial"/>
              </w:rPr>
              <w:t>Bonitas</w:t>
            </w:r>
            <w:proofErr w:type="spellEnd"/>
            <w:r w:rsidRPr="00966E5C">
              <w:rPr>
                <w:rFonts w:ascii="Arial" w:hAnsi="Arial" w:cs="Arial"/>
              </w:rPr>
              <w:t xml:space="preserve"> Medical Fund And Liberty Medical Scheme</w:t>
            </w:r>
          </w:p>
        </w:tc>
        <w:tc>
          <w:tcPr>
            <w:tcW w:w="2873" w:type="dxa"/>
          </w:tcPr>
          <w:p w14:paraId="6FF8FF1B" w14:textId="77777777" w:rsidR="00283AE6" w:rsidRPr="00966E5C" w:rsidRDefault="00283AE6" w:rsidP="00F01CFD">
            <w:pPr>
              <w:jc w:val="both"/>
              <w:rPr>
                <w:rFonts w:ascii="Arial" w:hAnsi="Arial" w:cs="Arial"/>
              </w:rPr>
            </w:pPr>
            <w:r w:rsidRPr="00966E5C">
              <w:rPr>
                <w:rFonts w:ascii="Arial" w:hAnsi="Arial" w:cs="Arial"/>
              </w:rPr>
              <w:t>Approved</w:t>
            </w:r>
          </w:p>
        </w:tc>
      </w:tr>
      <w:tr w:rsidR="00283AE6" w:rsidRPr="00966E5C" w14:paraId="27610626" w14:textId="77777777" w:rsidTr="00F01CFD">
        <w:trPr>
          <w:trHeight w:val="670"/>
        </w:trPr>
        <w:tc>
          <w:tcPr>
            <w:tcW w:w="3153" w:type="dxa"/>
          </w:tcPr>
          <w:p w14:paraId="76628813" w14:textId="77777777" w:rsidR="00283AE6" w:rsidRPr="00966E5C" w:rsidRDefault="00283AE6" w:rsidP="00F01CFD">
            <w:pPr>
              <w:jc w:val="both"/>
              <w:rPr>
                <w:rFonts w:ascii="Arial" w:hAnsi="Arial" w:cs="Arial"/>
              </w:rPr>
            </w:pPr>
            <w:r w:rsidRPr="00966E5C">
              <w:rPr>
                <w:rFonts w:ascii="Arial" w:hAnsi="Arial" w:cs="Arial"/>
              </w:rPr>
              <w:t>Large merger</w:t>
            </w:r>
          </w:p>
          <w:p w14:paraId="3D0B38A3" w14:textId="77777777" w:rsidR="00283AE6" w:rsidRPr="00966E5C" w:rsidRDefault="00283AE6" w:rsidP="00F01CFD">
            <w:pPr>
              <w:jc w:val="both"/>
              <w:rPr>
                <w:rFonts w:ascii="Arial" w:hAnsi="Arial" w:cs="Arial"/>
              </w:rPr>
            </w:pPr>
          </w:p>
        </w:tc>
        <w:tc>
          <w:tcPr>
            <w:tcW w:w="3198" w:type="dxa"/>
          </w:tcPr>
          <w:p w14:paraId="7288A93E" w14:textId="77777777" w:rsidR="00283AE6" w:rsidRPr="00966E5C" w:rsidRDefault="00283AE6" w:rsidP="00F01CFD">
            <w:pPr>
              <w:jc w:val="both"/>
              <w:rPr>
                <w:rFonts w:ascii="Arial" w:hAnsi="Arial" w:cs="Arial"/>
              </w:rPr>
            </w:pPr>
            <w:r w:rsidRPr="00966E5C">
              <w:rPr>
                <w:rFonts w:ascii="Arial" w:hAnsi="Arial" w:cs="Arial"/>
              </w:rPr>
              <w:t>Zico Capital Two (Pty) Ltd And Goldrush Group (Pty) Ltd</w:t>
            </w:r>
          </w:p>
        </w:tc>
        <w:tc>
          <w:tcPr>
            <w:tcW w:w="2873" w:type="dxa"/>
          </w:tcPr>
          <w:p w14:paraId="7FD19C2A" w14:textId="77777777" w:rsidR="00283AE6" w:rsidRPr="00966E5C" w:rsidRDefault="00283AE6" w:rsidP="00F01CFD">
            <w:pPr>
              <w:rPr>
                <w:rFonts w:ascii="Arial" w:hAnsi="Arial" w:cs="Arial"/>
              </w:rPr>
            </w:pPr>
            <w:r w:rsidRPr="00966E5C">
              <w:rPr>
                <w:rFonts w:ascii="Arial" w:hAnsi="Arial" w:cs="Arial"/>
              </w:rPr>
              <w:t>Approved</w:t>
            </w:r>
          </w:p>
        </w:tc>
      </w:tr>
      <w:tr w:rsidR="00283AE6" w:rsidRPr="00966E5C" w14:paraId="1A400490" w14:textId="77777777" w:rsidTr="00F01CFD">
        <w:trPr>
          <w:trHeight w:val="726"/>
        </w:trPr>
        <w:tc>
          <w:tcPr>
            <w:tcW w:w="3153" w:type="dxa"/>
          </w:tcPr>
          <w:p w14:paraId="5035A244" w14:textId="77777777" w:rsidR="00283AE6" w:rsidRPr="00966E5C" w:rsidRDefault="00283AE6" w:rsidP="00F01CFD">
            <w:pPr>
              <w:jc w:val="both"/>
              <w:rPr>
                <w:rFonts w:ascii="Arial" w:hAnsi="Arial" w:cs="Arial"/>
              </w:rPr>
            </w:pPr>
            <w:r w:rsidRPr="00966E5C">
              <w:rPr>
                <w:rFonts w:ascii="Arial" w:hAnsi="Arial" w:cs="Arial"/>
              </w:rPr>
              <w:t xml:space="preserve">Large merger </w:t>
            </w:r>
          </w:p>
        </w:tc>
        <w:tc>
          <w:tcPr>
            <w:tcW w:w="3198" w:type="dxa"/>
          </w:tcPr>
          <w:p w14:paraId="349EE8F7" w14:textId="77777777" w:rsidR="00283AE6" w:rsidRPr="00966E5C" w:rsidRDefault="00283AE6" w:rsidP="00F01CFD">
            <w:pPr>
              <w:jc w:val="both"/>
              <w:rPr>
                <w:rFonts w:ascii="Arial" w:hAnsi="Arial" w:cs="Arial"/>
                <w:color w:val="000000"/>
              </w:rPr>
            </w:pPr>
            <w:r w:rsidRPr="00966E5C">
              <w:rPr>
                <w:rFonts w:ascii="Arial" w:hAnsi="Arial" w:cs="Arial"/>
              </w:rPr>
              <w:t>Fruit and Veg City (Pty) Ltd And The Butchery Business Owned by Various Glen Aire Close Corporations</w:t>
            </w:r>
          </w:p>
        </w:tc>
        <w:tc>
          <w:tcPr>
            <w:tcW w:w="2873" w:type="dxa"/>
          </w:tcPr>
          <w:p w14:paraId="4F5C1289" w14:textId="77777777" w:rsidR="00283AE6" w:rsidRPr="00966E5C" w:rsidRDefault="00283AE6" w:rsidP="00F01CFD">
            <w:pPr>
              <w:rPr>
                <w:rFonts w:ascii="Arial" w:hAnsi="Arial" w:cs="Arial"/>
              </w:rPr>
            </w:pPr>
            <w:r w:rsidRPr="00966E5C">
              <w:rPr>
                <w:rFonts w:ascii="Arial" w:hAnsi="Arial" w:cs="Arial"/>
              </w:rPr>
              <w:t>Approved</w:t>
            </w:r>
          </w:p>
        </w:tc>
      </w:tr>
      <w:tr w:rsidR="00283AE6" w:rsidRPr="00966E5C" w14:paraId="470792EF" w14:textId="77777777" w:rsidTr="00F01CFD">
        <w:trPr>
          <w:trHeight w:val="726"/>
        </w:trPr>
        <w:tc>
          <w:tcPr>
            <w:tcW w:w="3153" w:type="dxa"/>
          </w:tcPr>
          <w:p w14:paraId="24FBC648" w14:textId="77777777" w:rsidR="00283AE6" w:rsidRPr="00966E5C" w:rsidRDefault="00283AE6" w:rsidP="00F01CFD">
            <w:pPr>
              <w:jc w:val="both"/>
              <w:rPr>
                <w:rFonts w:ascii="Arial" w:hAnsi="Arial" w:cs="Arial"/>
              </w:rPr>
            </w:pPr>
            <w:r w:rsidRPr="00966E5C">
              <w:rPr>
                <w:rFonts w:ascii="Arial" w:hAnsi="Arial" w:cs="Arial"/>
              </w:rPr>
              <w:t>Large merger</w:t>
            </w:r>
          </w:p>
        </w:tc>
        <w:tc>
          <w:tcPr>
            <w:tcW w:w="3198" w:type="dxa"/>
          </w:tcPr>
          <w:p w14:paraId="69F273F2" w14:textId="77777777" w:rsidR="00283AE6" w:rsidRPr="00966E5C" w:rsidRDefault="00283AE6" w:rsidP="00F01CFD">
            <w:pPr>
              <w:jc w:val="both"/>
              <w:rPr>
                <w:rFonts w:ascii="Arial" w:hAnsi="Arial" w:cs="Arial"/>
                <w:color w:val="000000"/>
              </w:rPr>
            </w:pPr>
            <w:r w:rsidRPr="00966E5C">
              <w:rPr>
                <w:rFonts w:ascii="Arial" w:hAnsi="Arial" w:cs="Arial"/>
              </w:rPr>
              <w:t>AFGRI Equipment (Pty) Ltd And AGRICO (Pty) Ltd</w:t>
            </w:r>
          </w:p>
        </w:tc>
        <w:tc>
          <w:tcPr>
            <w:tcW w:w="2873" w:type="dxa"/>
          </w:tcPr>
          <w:p w14:paraId="1557092C" w14:textId="77777777" w:rsidR="00283AE6" w:rsidRPr="00966E5C" w:rsidRDefault="00283AE6" w:rsidP="00F01CFD">
            <w:pPr>
              <w:rPr>
                <w:rFonts w:ascii="Arial" w:hAnsi="Arial" w:cs="Arial"/>
              </w:rPr>
            </w:pPr>
            <w:r w:rsidRPr="00966E5C">
              <w:rPr>
                <w:rFonts w:ascii="Arial" w:hAnsi="Arial" w:cs="Arial"/>
              </w:rPr>
              <w:t>Approved</w:t>
            </w:r>
          </w:p>
        </w:tc>
      </w:tr>
      <w:tr w:rsidR="00283AE6" w:rsidRPr="00966E5C" w14:paraId="5D1C7C49" w14:textId="77777777" w:rsidTr="00F01CFD">
        <w:trPr>
          <w:trHeight w:val="70"/>
        </w:trPr>
        <w:tc>
          <w:tcPr>
            <w:tcW w:w="3153" w:type="dxa"/>
          </w:tcPr>
          <w:p w14:paraId="089CAC46" w14:textId="77777777" w:rsidR="00283AE6" w:rsidRPr="00966E5C" w:rsidRDefault="00283AE6" w:rsidP="00F01CFD">
            <w:pPr>
              <w:jc w:val="both"/>
              <w:rPr>
                <w:rFonts w:ascii="Arial" w:hAnsi="Arial" w:cs="Arial"/>
              </w:rPr>
            </w:pPr>
          </w:p>
        </w:tc>
        <w:tc>
          <w:tcPr>
            <w:tcW w:w="3198" w:type="dxa"/>
          </w:tcPr>
          <w:p w14:paraId="7D89BDE9" w14:textId="77777777" w:rsidR="00283AE6" w:rsidRPr="00966E5C" w:rsidRDefault="00283AE6" w:rsidP="00F01CFD">
            <w:pPr>
              <w:jc w:val="both"/>
              <w:rPr>
                <w:rFonts w:ascii="Arial" w:hAnsi="Arial" w:cs="Arial"/>
                <w:color w:val="000000"/>
              </w:rPr>
            </w:pPr>
          </w:p>
        </w:tc>
        <w:tc>
          <w:tcPr>
            <w:tcW w:w="2873" w:type="dxa"/>
          </w:tcPr>
          <w:p w14:paraId="28479499" w14:textId="77777777" w:rsidR="00283AE6" w:rsidRPr="00966E5C" w:rsidRDefault="00283AE6" w:rsidP="00F01CFD">
            <w:pPr>
              <w:rPr>
                <w:rFonts w:ascii="Arial" w:hAnsi="Arial" w:cs="Arial"/>
              </w:rPr>
            </w:pPr>
          </w:p>
        </w:tc>
      </w:tr>
    </w:tbl>
    <w:p w14:paraId="28D8DA08" w14:textId="77777777" w:rsidR="00283AE6" w:rsidRPr="00966E5C" w:rsidRDefault="00283AE6" w:rsidP="00283AE6">
      <w:pPr>
        <w:spacing w:after="0" w:line="240" w:lineRule="auto"/>
        <w:jc w:val="both"/>
        <w:rPr>
          <w:rFonts w:ascii="Arial" w:hAnsi="Arial" w:cs="Arial"/>
          <w:color w:val="000000"/>
        </w:rPr>
      </w:pPr>
    </w:p>
    <w:p w14:paraId="223132C2" w14:textId="77777777" w:rsidR="00283AE6" w:rsidRPr="00966E5C" w:rsidRDefault="00283AE6" w:rsidP="00283AE6">
      <w:pPr>
        <w:spacing w:after="0" w:line="240" w:lineRule="auto"/>
        <w:jc w:val="both"/>
        <w:rPr>
          <w:rFonts w:ascii="Arial" w:hAnsi="Arial" w:cs="Arial"/>
          <w:b/>
          <w:color w:val="000000"/>
        </w:rPr>
      </w:pPr>
      <w:proofErr w:type="spellStart"/>
      <w:r w:rsidRPr="00966E5C">
        <w:rPr>
          <w:rFonts w:ascii="Arial" w:hAnsi="Arial" w:cs="Arial"/>
          <w:b/>
          <w:color w:val="000000"/>
        </w:rPr>
        <w:t>Bonitas</w:t>
      </w:r>
      <w:proofErr w:type="spellEnd"/>
      <w:r w:rsidRPr="00966E5C">
        <w:rPr>
          <w:rFonts w:ascii="Arial" w:hAnsi="Arial" w:cs="Arial"/>
          <w:b/>
          <w:color w:val="000000"/>
        </w:rPr>
        <w:t xml:space="preserve"> and target company Liberty Medical Scheme </w:t>
      </w:r>
    </w:p>
    <w:p w14:paraId="54750BC0" w14:textId="77777777" w:rsidR="00283AE6" w:rsidRPr="00966E5C" w:rsidRDefault="00283AE6" w:rsidP="00283AE6">
      <w:pPr>
        <w:spacing w:after="0" w:line="240" w:lineRule="auto"/>
        <w:jc w:val="both"/>
        <w:rPr>
          <w:rFonts w:ascii="Arial" w:hAnsi="Arial" w:cs="Arial"/>
          <w:color w:val="000000"/>
        </w:rPr>
      </w:pPr>
    </w:p>
    <w:p w14:paraId="2950A556" w14:textId="77777777" w:rsidR="00283AE6" w:rsidRPr="00966E5C" w:rsidRDefault="00283AE6" w:rsidP="00283AE6">
      <w:pPr>
        <w:rPr>
          <w:rFonts w:ascii="Arial" w:hAnsi="Arial" w:cs="Arial"/>
        </w:rPr>
      </w:pPr>
      <w:r w:rsidRPr="00966E5C">
        <w:rPr>
          <w:rFonts w:ascii="Arial" w:hAnsi="Arial" w:cs="Arial"/>
        </w:rPr>
        <w:t>The Tribunal</w:t>
      </w:r>
      <w:r>
        <w:rPr>
          <w:rFonts w:ascii="Arial" w:hAnsi="Arial" w:cs="Arial"/>
        </w:rPr>
        <w:t xml:space="preserve"> has approved</w:t>
      </w:r>
      <w:r w:rsidRPr="00966E5C">
        <w:rPr>
          <w:rFonts w:ascii="Arial" w:hAnsi="Arial" w:cs="Arial"/>
        </w:rPr>
        <w:t xml:space="preserve"> that the large merger </w:t>
      </w:r>
      <w:r>
        <w:rPr>
          <w:rFonts w:ascii="Arial" w:hAnsi="Arial" w:cs="Arial"/>
        </w:rPr>
        <w:t xml:space="preserve">between </w:t>
      </w:r>
      <w:proofErr w:type="spellStart"/>
      <w:r w:rsidRPr="00966E5C">
        <w:rPr>
          <w:rFonts w:ascii="Arial" w:hAnsi="Arial" w:cs="Arial"/>
          <w:b/>
        </w:rPr>
        <w:t>Bonitas</w:t>
      </w:r>
      <w:proofErr w:type="spellEnd"/>
      <w:r w:rsidRPr="00966E5C">
        <w:rPr>
          <w:rFonts w:ascii="Arial" w:hAnsi="Arial" w:cs="Arial"/>
          <w:b/>
        </w:rPr>
        <w:t xml:space="preserve"> Medical Fund</w:t>
      </w:r>
      <w:r w:rsidRPr="00966E5C">
        <w:rPr>
          <w:rFonts w:ascii="Arial" w:hAnsi="Arial" w:cs="Arial"/>
        </w:rPr>
        <w:t xml:space="preserve"> </w:t>
      </w:r>
      <w:r>
        <w:rPr>
          <w:rFonts w:ascii="Arial" w:hAnsi="Arial" w:cs="Arial"/>
        </w:rPr>
        <w:t xml:space="preserve">and </w:t>
      </w:r>
      <w:r w:rsidRPr="00966E5C">
        <w:rPr>
          <w:rFonts w:ascii="Arial" w:hAnsi="Arial" w:cs="Arial"/>
          <w:b/>
        </w:rPr>
        <w:t>Liberty Medical Scheme</w:t>
      </w:r>
      <w:r w:rsidRPr="00966E5C">
        <w:rPr>
          <w:rFonts w:ascii="Arial" w:hAnsi="Arial" w:cs="Arial"/>
        </w:rPr>
        <w:t xml:space="preserve"> without conditions. </w:t>
      </w:r>
      <w:r>
        <w:rPr>
          <w:rFonts w:ascii="Arial" w:hAnsi="Arial" w:cs="Arial"/>
        </w:rPr>
        <w:t>Liberty is the target company, and post</w:t>
      </w:r>
      <w:r w:rsidRPr="00966E5C">
        <w:rPr>
          <w:rFonts w:ascii="Arial" w:hAnsi="Arial" w:cs="Arial"/>
        </w:rPr>
        <w:t xml:space="preserve">-merger the name of the amalgamated scheme shall continue under the name </w:t>
      </w:r>
      <w:proofErr w:type="spellStart"/>
      <w:r w:rsidRPr="00966E5C">
        <w:rPr>
          <w:rFonts w:ascii="Arial" w:hAnsi="Arial" w:cs="Arial"/>
        </w:rPr>
        <w:t>Bonitas</w:t>
      </w:r>
      <w:proofErr w:type="spellEnd"/>
      <w:r w:rsidRPr="00966E5C">
        <w:rPr>
          <w:rFonts w:ascii="Arial" w:hAnsi="Arial" w:cs="Arial"/>
        </w:rPr>
        <w:t xml:space="preserve">. </w:t>
      </w:r>
    </w:p>
    <w:p w14:paraId="15E38CE4" w14:textId="77777777" w:rsidR="00283AE6" w:rsidRPr="00966E5C" w:rsidRDefault="00283AE6" w:rsidP="00283AE6">
      <w:pPr>
        <w:rPr>
          <w:rFonts w:ascii="Arial" w:hAnsi="Arial" w:cs="Arial"/>
        </w:rPr>
      </w:pPr>
      <w:proofErr w:type="spellStart"/>
      <w:r w:rsidRPr="00966E5C">
        <w:rPr>
          <w:rFonts w:ascii="Arial" w:hAnsi="Arial" w:cs="Arial"/>
        </w:rPr>
        <w:t>Bonitas</w:t>
      </w:r>
      <w:proofErr w:type="spellEnd"/>
      <w:r w:rsidRPr="00966E5C">
        <w:rPr>
          <w:rFonts w:ascii="Arial" w:hAnsi="Arial" w:cs="Arial"/>
        </w:rPr>
        <w:t xml:space="preserve"> and Liberty are active in the medical schemes industry and operate as open medical schemes, which means there are no restrictions on membership based on employment or profession and they are open to the general public. </w:t>
      </w:r>
    </w:p>
    <w:p w14:paraId="55A0C697" w14:textId="77777777" w:rsidR="00283AE6" w:rsidRPr="00966E5C" w:rsidRDefault="00283AE6" w:rsidP="00283AE6">
      <w:pPr>
        <w:rPr>
          <w:rFonts w:ascii="Arial" w:hAnsi="Arial" w:cs="Arial"/>
        </w:rPr>
      </w:pPr>
      <w:r w:rsidRPr="00966E5C">
        <w:rPr>
          <w:rFonts w:ascii="Arial" w:hAnsi="Arial" w:cs="Arial"/>
        </w:rPr>
        <w:t xml:space="preserve">The Commission </w:t>
      </w:r>
      <w:r>
        <w:rPr>
          <w:rFonts w:ascii="Arial" w:hAnsi="Arial" w:cs="Arial"/>
        </w:rPr>
        <w:t>had found some overlap of the</w:t>
      </w:r>
      <w:r w:rsidRPr="00966E5C">
        <w:rPr>
          <w:rFonts w:ascii="Arial" w:hAnsi="Arial" w:cs="Arial"/>
        </w:rPr>
        <w:t xml:space="preserve"> merging parties’ activities overlap in relation to the administration and managed care services, </w:t>
      </w:r>
      <w:r>
        <w:rPr>
          <w:rFonts w:ascii="Arial" w:hAnsi="Arial" w:cs="Arial"/>
        </w:rPr>
        <w:t xml:space="preserve">but </w:t>
      </w:r>
      <w:r w:rsidRPr="00966E5C">
        <w:rPr>
          <w:rFonts w:ascii="Arial" w:hAnsi="Arial" w:cs="Arial"/>
        </w:rPr>
        <w:t xml:space="preserve">the services are carried out contractually by third parties, not by the merging parties themselves. </w:t>
      </w:r>
      <w:r>
        <w:rPr>
          <w:rFonts w:ascii="Arial" w:hAnsi="Arial" w:cs="Arial"/>
        </w:rPr>
        <w:t>It also felt that the merging parties would continue to face competition from other medical aid schemes.</w:t>
      </w:r>
    </w:p>
    <w:p w14:paraId="13EF7ECD" w14:textId="77777777" w:rsidR="00283AE6" w:rsidRPr="00966E5C" w:rsidRDefault="00283AE6" w:rsidP="00283AE6">
      <w:pPr>
        <w:rPr>
          <w:rFonts w:ascii="Arial" w:hAnsi="Arial" w:cs="Arial"/>
          <w:b/>
        </w:rPr>
      </w:pPr>
      <w:r w:rsidRPr="00966E5C">
        <w:rPr>
          <w:rFonts w:ascii="Arial" w:hAnsi="Arial" w:cs="Arial"/>
          <w:b/>
        </w:rPr>
        <w:t xml:space="preserve">Newly established Zico Capital and Goldrush </w:t>
      </w:r>
    </w:p>
    <w:p w14:paraId="65E0402F" w14:textId="77777777" w:rsidR="00283AE6" w:rsidRPr="00966E5C" w:rsidRDefault="00283AE6" w:rsidP="00283AE6">
      <w:pPr>
        <w:rPr>
          <w:rFonts w:ascii="Arial" w:hAnsi="Arial" w:cs="Arial"/>
          <w:lang w:val="en-US"/>
        </w:rPr>
      </w:pPr>
      <w:r>
        <w:rPr>
          <w:rFonts w:ascii="Arial" w:hAnsi="Arial" w:cs="Arial"/>
        </w:rPr>
        <w:t>The</w:t>
      </w:r>
      <w:r w:rsidRPr="00966E5C">
        <w:rPr>
          <w:rFonts w:ascii="Arial" w:hAnsi="Arial" w:cs="Arial"/>
        </w:rPr>
        <w:t xml:space="preserve"> large merger between </w:t>
      </w:r>
      <w:r w:rsidRPr="00B375A2">
        <w:rPr>
          <w:rFonts w:ascii="Arial" w:hAnsi="Arial" w:cs="Arial"/>
          <w:b/>
        </w:rPr>
        <w:t>Zico Capital</w:t>
      </w:r>
      <w:r w:rsidRPr="00966E5C">
        <w:rPr>
          <w:rFonts w:ascii="Arial" w:hAnsi="Arial" w:cs="Arial"/>
        </w:rPr>
        <w:t xml:space="preserve"> and </w:t>
      </w:r>
      <w:r w:rsidRPr="00B375A2">
        <w:rPr>
          <w:rFonts w:ascii="Arial" w:hAnsi="Arial" w:cs="Arial"/>
          <w:b/>
        </w:rPr>
        <w:t>Goldrush</w:t>
      </w:r>
      <w:r w:rsidRPr="00966E5C">
        <w:rPr>
          <w:rFonts w:ascii="Arial" w:hAnsi="Arial" w:cs="Arial"/>
        </w:rPr>
        <w:t xml:space="preserve"> </w:t>
      </w:r>
      <w:r>
        <w:rPr>
          <w:rFonts w:ascii="Arial" w:hAnsi="Arial" w:cs="Arial"/>
        </w:rPr>
        <w:t xml:space="preserve">has been approved by the Tribunal </w:t>
      </w:r>
      <w:r w:rsidRPr="00966E5C">
        <w:rPr>
          <w:rFonts w:ascii="Arial" w:hAnsi="Arial" w:cs="Arial"/>
        </w:rPr>
        <w:t xml:space="preserve">without conditions. </w:t>
      </w:r>
    </w:p>
    <w:p w14:paraId="670B3060" w14:textId="77777777" w:rsidR="00283AE6" w:rsidRPr="00966E5C" w:rsidRDefault="00283AE6" w:rsidP="00283AE6">
      <w:pPr>
        <w:rPr>
          <w:rFonts w:ascii="Arial" w:hAnsi="Arial" w:cs="Arial"/>
        </w:rPr>
      </w:pPr>
      <w:r w:rsidRPr="00966E5C">
        <w:rPr>
          <w:rFonts w:ascii="Arial" w:hAnsi="Arial" w:cs="Arial"/>
        </w:rPr>
        <w:t>Zico Capital is a newly formed entity and does not provide any products or services.</w:t>
      </w:r>
      <w:r>
        <w:rPr>
          <w:rFonts w:ascii="Arial" w:hAnsi="Arial" w:cs="Arial"/>
        </w:rPr>
        <w:t xml:space="preserve"> The target company,</w:t>
      </w:r>
      <w:r w:rsidRPr="00966E5C">
        <w:rPr>
          <w:rFonts w:ascii="Arial" w:hAnsi="Arial" w:cs="Arial"/>
        </w:rPr>
        <w:t xml:space="preserve"> Goldrush controls two firms </w:t>
      </w:r>
      <w:r>
        <w:rPr>
          <w:rFonts w:ascii="Arial" w:hAnsi="Arial" w:cs="Arial"/>
        </w:rPr>
        <w:t xml:space="preserve">and providing </w:t>
      </w:r>
      <w:r w:rsidRPr="00966E5C">
        <w:rPr>
          <w:rFonts w:ascii="Arial" w:hAnsi="Arial" w:cs="Arial"/>
        </w:rPr>
        <w:t>regulated gaming services and products</w:t>
      </w:r>
      <w:r>
        <w:rPr>
          <w:rFonts w:ascii="Arial" w:hAnsi="Arial" w:cs="Arial"/>
        </w:rPr>
        <w:t xml:space="preserve">. </w:t>
      </w:r>
      <w:r>
        <w:rPr>
          <w:rFonts w:ascii="Arial" w:hAnsi="Arial" w:cs="Arial"/>
        </w:rPr>
        <w:lastRenderedPageBreak/>
        <w:t xml:space="preserve">These include </w:t>
      </w:r>
      <w:r w:rsidRPr="00966E5C">
        <w:rPr>
          <w:rFonts w:ascii="Arial" w:hAnsi="Arial" w:cs="Arial"/>
        </w:rPr>
        <w:t xml:space="preserve">electronic betting terminals, limited </w:t>
      </w:r>
      <w:proofErr w:type="spellStart"/>
      <w:r w:rsidRPr="00966E5C">
        <w:rPr>
          <w:rFonts w:ascii="Arial" w:hAnsi="Arial" w:cs="Arial"/>
        </w:rPr>
        <w:t>payout</w:t>
      </w:r>
      <w:proofErr w:type="spellEnd"/>
      <w:r w:rsidRPr="00966E5C">
        <w:rPr>
          <w:rFonts w:ascii="Arial" w:hAnsi="Arial" w:cs="Arial"/>
        </w:rPr>
        <w:t xml:space="preserve"> machines, sports betting and online betting. </w:t>
      </w:r>
    </w:p>
    <w:p w14:paraId="334BC2E5" w14:textId="77777777" w:rsidR="00283AE6" w:rsidRDefault="00283AE6" w:rsidP="00283AE6">
      <w:pPr>
        <w:rPr>
          <w:rFonts w:ascii="Arial" w:hAnsi="Arial" w:cs="Arial"/>
        </w:rPr>
      </w:pPr>
      <w:r w:rsidRPr="00966E5C">
        <w:rPr>
          <w:rFonts w:ascii="Arial" w:hAnsi="Arial" w:cs="Arial"/>
        </w:rPr>
        <w:t xml:space="preserve">The Commission </w:t>
      </w:r>
      <w:r>
        <w:rPr>
          <w:rFonts w:ascii="Arial" w:hAnsi="Arial" w:cs="Arial"/>
        </w:rPr>
        <w:t xml:space="preserve">had recommended the merger as it felt it was </w:t>
      </w:r>
      <w:r w:rsidRPr="00966E5C">
        <w:rPr>
          <w:rFonts w:ascii="Arial" w:hAnsi="Arial" w:cs="Arial"/>
        </w:rPr>
        <w:t>unlikely to substantially prevent or lessen competition in any market as there is no overlap between the activities of the merging firms.</w:t>
      </w:r>
      <w:r>
        <w:rPr>
          <w:rFonts w:ascii="Arial" w:hAnsi="Arial" w:cs="Arial"/>
        </w:rPr>
        <w:t xml:space="preserve"> The merger is also unlikely to give rise to any job losses. </w:t>
      </w:r>
      <w:r w:rsidRPr="00966E5C">
        <w:rPr>
          <w:rFonts w:ascii="Arial" w:hAnsi="Arial" w:cs="Arial"/>
        </w:rPr>
        <w:t xml:space="preserve"> </w:t>
      </w:r>
    </w:p>
    <w:p w14:paraId="7C8093DE" w14:textId="77777777" w:rsidR="00283AE6" w:rsidRPr="00966E5C" w:rsidRDefault="00283AE6" w:rsidP="00283AE6">
      <w:pPr>
        <w:rPr>
          <w:rFonts w:ascii="Arial" w:hAnsi="Arial" w:cs="Arial"/>
          <w:b/>
        </w:rPr>
      </w:pPr>
      <w:r w:rsidRPr="00966E5C">
        <w:rPr>
          <w:rFonts w:ascii="Arial" w:hAnsi="Arial" w:cs="Arial"/>
          <w:b/>
        </w:rPr>
        <w:t>Fruit and Veg City and Glen Aire Butchery Businesses</w:t>
      </w:r>
    </w:p>
    <w:p w14:paraId="6BB5B331" w14:textId="77777777" w:rsidR="00283AE6" w:rsidRPr="00966E5C" w:rsidRDefault="00283AE6" w:rsidP="00283AE6">
      <w:pPr>
        <w:rPr>
          <w:rFonts w:ascii="Arial" w:hAnsi="Arial" w:cs="Arial"/>
        </w:rPr>
      </w:pPr>
      <w:r>
        <w:rPr>
          <w:rFonts w:ascii="Arial" w:hAnsi="Arial" w:cs="Arial"/>
        </w:rPr>
        <w:t xml:space="preserve">The Tribunal has approved the </w:t>
      </w:r>
      <w:r w:rsidRPr="00966E5C">
        <w:rPr>
          <w:rFonts w:ascii="Arial" w:hAnsi="Arial" w:cs="Arial"/>
        </w:rPr>
        <w:t>large merger bet</w:t>
      </w:r>
      <w:r>
        <w:rPr>
          <w:rFonts w:ascii="Arial" w:hAnsi="Arial" w:cs="Arial"/>
        </w:rPr>
        <w:t xml:space="preserve">ween </w:t>
      </w:r>
      <w:r w:rsidRPr="00B375A2">
        <w:rPr>
          <w:rFonts w:ascii="Arial" w:hAnsi="Arial" w:cs="Arial"/>
          <w:b/>
        </w:rPr>
        <w:t>Fruit and Veg City</w:t>
      </w:r>
      <w:r>
        <w:rPr>
          <w:rFonts w:ascii="Arial" w:hAnsi="Arial" w:cs="Arial"/>
        </w:rPr>
        <w:t xml:space="preserve"> Pty (Ltd</w:t>
      </w:r>
      <w:r w:rsidRPr="00966E5C">
        <w:rPr>
          <w:rFonts w:ascii="Arial" w:hAnsi="Arial" w:cs="Arial"/>
        </w:rPr>
        <w:t xml:space="preserve">) and target company </w:t>
      </w:r>
      <w:r w:rsidRPr="00B375A2">
        <w:rPr>
          <w:rFonts w:ascii="Arial" w:hAnsi="Arial" w:cs="Arial"/>
          <w:b/>
        </w:rPr>
        <w:t>Glen Aire Butchery Businesses</w:t>
      </w:r>
      <w:r w:rsidRPr="00966E5C">
        <w:rPr>
          <w:rFonts w:ascii="Arial" w:hAnsi="Arial" w:cs="Arial"/>
        </w:rPr>
        <w:t xml:space="preserve">. </w:t>
      </w:r>
      <w:r>
        <w:rPr>
          <w:rFonts w:ascii="Arial" w:hAnsi="Arial" w:cs="Arial"/>
        </w:rPr>
        <w:t xml:space="preserve">Most Glen Aire Butchery Businesses will be wholly-owned subsidiaries of Fruit and Veg City post-merger. </w:t>
      </w:r>
    </w:p>
    <w:p w14:paraId="34A84F45" w14:textId="77777777" w:rsidR="00283AE6" w:rsidRPr="00966E5C" w:rsidRDefault="00283AE6" w:rsidP="00283AE6">
      <w:pPr>
        <w:rPr>
          <w:rFonts w:ascii="Arial" w:hAnsi="Arial" w:cs="Arial"/>
        </w:rPr>
      </w:pPr>
      <w:r w:rsidRPr="00966E5C">
        <w:rPr>
          <w:rFonts w:ascii="Arial" w:hAnsi="Arial" w:cs="Arial"/>
        </w:rPr>
        <w:t>Fruit and Veg City</w:t>
      </w:r>
      <w:r>
        <w:rPr>
          <w:rFonts w:ascii="Arial" w:hAnsi="Arial" w:cs="Arial"/>
        </w:rPr>
        <w:t xml:space="preserve"> is a </w:t>
      </w:r>
      <w:r w:rsidRPr="00966E5C">
        <w:rPr>
          <w:rFonts w:ascii="Arial" w:hAnsi="Arial" w:cs="Arial"/>
        </w:rPr>
        <w:t>wholly-owned subsidiary</w:t>
      </w:r>
      <w:r>
        <w:rPr>
          <w:rFonts w:ascii="Arial" w:hAnsi="Arial" w:cs="Arial"/>
        </w:rPr>
        <w:t xml:space="preserve"> Fruit and Veg City Holdings Ltd and that in turn is a wholly-owned subsidiary</w:t>
      </w:r>
      <w:r w:rsidRPr="00966E5C">
        <w:rPr>
          <w:rFonts w:ascii="Arial" w:hAnsi="Arial" w:cs="Arial"/>
        </w:rPr>
        <w:t xml:space="preserve"> </w:t>
      </w:r>
      <w:r>
        <w:rPr>
          <w:rFonts w:ascii="Arial" w:hAnsi="Arial" w:cs="Arial"/>
        </w:rPr>
        <w:t>of Food Lovers Holdings Ltd. Fruit and Veg City</w:t>
      </w:r>
      <w:r w:rsidRPr="00966E5C">
        <w:rPr>
          <w:rFonts w:ascii="Arial" w:hAnsi="Arial" w:cs="Arial"/>
        </w:rPr>
        <w:t xml:space="preserve"> is engaged in the wholesale, distribution and retail of fresh produce, groceries, beverages and other food-related and ancillary products to end-customers. </w:t>
      </w:r>
    </w:p>
    <w:p w14:paraId="37F5D645" w14:textId="77777777" w:rsidR="00283AE6" w:rsidRPr="00966E5C" w:rsidRDefault="00283AE6" w:rsidP="00283AE6">
      <w:pPr>
        <w:rPr>
          <w:rFonts w:ascii="Arial" w:hAnsi="Arial" w:cs="Arial"/>
        </w:rPr>
      </w:pPr>
      <w:r>
        <w:rPr>
          <w:rFonts w:ascii="Arial" w:hAnsi="Arial" w:cs="Arial"/>
        </w:rPr>
        <w:t xml:space="preserve">The primary target firms are </w:t>
      </w:r>
      <w:r w:rsidRPr="00966E5C">
        <w:rPr>
          <w:rFonts w:ascii="Arial" w:hAnsi="Arial" w:cs="Arial"/>
        </w:rPr>
        <w:t>Glen Aire Butchery Businesses</w:t>
      </w:r>
      <w:r>
        <w:rPr>
          <w:rFonts w:ascii="Arial" w:hAnsi="Arial" w:cs="Arial"/>
        </w:rPr>
        <w:t>, within the Glen Aire Group. Glen Aire Butchery Businesses</w:t>
      </w:r>
      <w:r w:rsidRPr="00966E5C">
        <w:rPr>
          <w:rFonts w:ascii="Arial" w:hAnsi="Arial" w:cs="Arial"/>
        </w:rPr>
        <w:t xml:space="preserve"> are involved in the sale of meat and chicken products to retail customers. </w:t>
      </w:r>
    </w:p>
    <w:p w14:paraId="6D29E47D" w14:textId="77777777" w:rsidR="00283AE6" w:rsidRPr="00B375A2" w:rsidRDefault="00283AE6" w:rsidP="00283AE6">
      <w:pPr>
        <w:rPr>
          <w:rFonts w:ascii="Arial" w:hAnsi="Arial" w:cs="Arial"/>
          <w:b/>
        </w:rPr>
      </w:pPr>
      <w:r>
        <w:rPr>
          <w:rFonts w:ascii="Arial" w:hAnsi="Arial" w:cs="Arial"/>
          <w:b/>
        </w:rPr>
        <w:t>AFGRI Equipment and AGRICO</w:t>
      </w:r>
    </w:p>
    <w:p w14:paraId="7B2F7DED" w14:textId="77777777" w:rsidR="00283AE6" w:rsidRPr="00966E5C" w:rsidRDefault="00283AE6" w:rsidP="00283AE6">
      <w:pPr>
        <w:rPr>
          <w:rFonts w:ascii="Arial" w:hAnsi="Arial" w:cs="Arial"/>
        </w:rPr>
      </w:pPr>
      <w:r>
        <w:rPr>
          <w:rFonts w:ascii="Arial" w:hAnsi="Arial" w:cs="Arial"/>
        </w:rPr>
        <w:t xml:space="preserve">The Commission has recommended that </w:t>
      </w:r>
      <w:r w:rsidRPr="00846D13">
        <w:rPr>
          <w:rFonts w:ascii="Arial" w:hAnsi="Arial" w:cs="Arial"/>
          <w:b/>
        </w:rPr>
        <w:t>AFGRI Equipment</w:t>
      </w:r>
      <w:r w:rsidRPr="00966E5C">
        <w:rPr>
          <w:rFonts w:ascii="Arial" w:hAnsi="Arial" w:cs="Arial"/>
        </w:rPr>
        <w:t xml:space="preserve"> </w:t>
      </w:r>
      <w:r>
        <w:rPr>
          <w:rFonts w:ascii="Arial" w:hAnsi="Arial" w:cs="Arial"/>
        </w:rPr>
        <w:t xml:space="preserve">acquisition of </w:t>
      </w:r>
      <w:r w:rsidRPr="00966E5C">
        <w:rPr>
          <w:rFonts w:ascii="Arial" w:hAnsi="Arial" w:cs="Arial"/>
        </w:rPr>
        <w:t>the agricultural equipment b</w:t>
      </w:r>
      <w:r>
        <w:rPr>
          <w:rFonts w:ascii="Arial" w:hAnsi="Arial" w:cs="Arial"/>
        </w:rPr>
        <w:t xml:space="preserve">usiness </w:t>
      </w:r>
      <w:r w:rsidRPr="00966E5C">
        <w:rPr>
          <w:rFonts w:ascii="Arial" w:hAnsi="Arial" w:cs="Arial"/>
        </w:rPr>
        <w:t xml:space="preserve">of </w:t>
      </w:r>
      <w:r>
        <w:rPr>
          <w:rFonts w:ascii="Arial" w:hAnsi="Arial" w:cs="Arial"/>
          <w:b/>
        </w:rPr>
        <w:t>AGRICO</w:t>
      </w:r>
      <w:r w:rsidRPr="00966E5C">
        <w:rPr>
          <w:rFonts w:ascii="Arial" w:hAnsi="Arial" w:cs="Arial"/>
        </w:rPr>
        <w:t xml:space="preserve"> be approved without conditions.</w:t>
      </w:r>
    </w:p>
    <w:p w14:paraId="67FEEA4D" w14:textId="77777777" w:rsidR="00283AE6" w:rsidRPr="00966E5C" w:rsidRDefault="00283AE6" w:rsidP="00283AE6">
      <w:pPr>
        <w:rPr>
          <w:rFonts w:ascii="Arial" w:hAnsi="Arial" w:cs="Arial"/>
        </w:rPr>
      </w:pPr>
      <w:r w:rsidRPr="00966E5C">
        <w:rPr>
          <w:rFonts w:ascii="Arial" w:hAnsi="Arial" w:cs="Arial"/>
        </w:rPr>
        <w:t>AFGRI Equipment is a John Deere dealership and its main business is to sell John Deere branded agricultural equipment and accessories such as tractors, combine harvesters</w:t>
      </w:r>
      <w:r>
        <w:rPr>
          <w:rFonts w:ascii="Arial" w:hAnsi="Arial" w:cs="Arial"/>
        </w:rPr>
        <w:t xml:space="preserve"> and balers. The Target business, AGRICO</w:t>
      </w:r>
      <w:r w:rsidRPr="00966E5C">
        <w:rPr>
          <w:rFonts w:ascii="Arial" w:hAnsi="Arial" w:cs="Arial"/>
        </w:rPr>
        <w:t xml:space="preserve"> is a retail distributor of John Deere products and operates agricultural machinery dealerships that sell products such as tractors, combine harvester, sprayers, balers and harrow disks. </w:t>
      </w:r>
    </w:p>
    <w:p w14:paraId="396F79E5" w14:textId="77777777" w:rsidR="00283AE6" w:rsidRPr="00966E5C" w:rsidRDefault="00283AE6" w:rsidP="00283AE6">
      <w:pPr>
        <w:rPr>
          <w:rFonts w:ascii="Arial" w:hAnsi="Arial" w:cs="Arial"/>
        </w:rPr>
      </w:pPr>
      <w:r w:rsidRPr="00966E5C">
        <w:rPr>
          <w:rFonts w:ascii="Arial" w:hAnsi="Arial" w:cs="Arial"/>
        </w:rPr>
        <w:t>The Commission</w:t>
      </w:r>
      <w:r>
        <w:rPr>
          <w:rFonts w:ascii="Arial" w:hAnsi="Arial" w:cs="Arial"/>
        </w:rPr>
        <w:t xml:space="preserve"> recommended the </w:t>
      </w:r>
      <w:r w:rsidRPr="00966E5C">
        <w:rPr>
          <w:rFonts w:ascii="Arial" w:hAnsi="Arial" w:cs="Arial"/>
        </w:rPr>
        <w:t xml:space="preserve">transaction </w:t>
      </w:r>
      <w:r>
        <w:rPr>
          <w:rFonts w:ascii="Arial" w:hAnsi="Arial" w:cs="Arial"/>
        </w:rPr>
        <w:t xml:space="preserve">on the grounds that it will not </w:t>
      </w:r>
      <w:r w:rsidRPr="00966E5C">
        <w:rPr>
          <w:rFonts w:ascii="Arial" w:hAnsi="Arial" w:cs="Arial"/>
        </w:rPr>
        <w:t>substantially lessen or prevent competition in the market for the retail distribution of agricultural equipment and the pr</w:t>
      </w:r>
      <w:r>
        <w:rPr>
          <w:rFonts w:ascii="Arial" w:hAnsi="Arial" w:cs="Arial"/>
        </w:rPr>
        <w:t xml:space="preserve">ovision of after-sale services as there are other products, other than John Deere competing in this market. </w:t>
      </w:r>
    </w:p>
    <w:p w14:paraId="04A40B94" w14:textId="77777777" w:rsidR="00283AE6" w:rsidRPr="00966E5C" w:rsidRDefault="00283AE6" w:rsidP="00283AE6">
      <w:pPr>
        <w:rPr>
          <w:rFonts w:ascii="Arial" w:hAnsi="Arial" w:cs="Arial"/>
        </w:rPr>
      </w:pPr>
    </w:p>
    <w:p w14:paraId="245CE7E3"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Issued by: </w:t>
      </w:r>
    </w:p>
    <w:p w14:paraId="1B38AF02"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 xml:space="preserve">Chantelle Benjamin </w:t>
      </w:r>
    </w:p>
    <w:p w14:paraId="689E9466"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Communications: Competition Tribunal   </w:t>
      </w:r>
    </w:p>
    <w:p w14:paraId="26B0017F"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 xml:space="preserve">Tel (012)394 1383                                      </w:t>
      </w:r>
    </w:p>
    <w:p w14:paraId="493622F4"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Cell: +27 (0) 73 007 5603  </w:t>
      </w:r>
    </w:p>
    <w:p w14:paraId="3CE7BEDC"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Twitter: @comptrib                                        </w:t>
      </w:r>
    </w:p>
    <w:p w14:paraId="2191DE0F" w14:textId="2F636BBC" w:rsidR="00283AE6" w:rsidRPr="00966E5C" w:rsidRDefault="00283AE6" w:rsidP="00283AE6">
      <w:pPr>
        <w:spacing w:after="0" w:line="240" w:lineRule="auto"/>
        <w:jc w:val="both"/>
        <w:rPr>
          <w:rFonts w:ascii="Arial" w:hAnsi="Arial" w:cs="Arial"/>
        </w:rPr>
      </w:pPr>
      <w:r w:rsidRPr="00966E5C">
        <w:rPr>
          <w:rFonts w:ascii="Arial" w:hAnsi="Arial" w:cs="Arial"/>
          <w:color w:val="000000"/>
          <w:lang w:eastAsia="en-ZA"/>
        </w:rPr>
        <w:t xml:space="preserve">E-Mail: </w:t>
      </w:r>
      <w:hyperlink r:id="rId5" w:history="1">
        <w:r w:rsidRPr="00966E5C">
          <w:rPr>
            <w:rStyle w:val="Hyperlink"/>
            <w:rFonts w:ascii="Arial" w:hAnsi="Arial" w:cs="Arial"/>
            <w:lang w:eastAsia="en-ZA"/>
          </w:rPr>
          <w:t>chantelleb@comptrib.co.za</w:t>
        </w:r>
      </w:hyperlink>
      <w:r w:rsidRPr="00966E5C">
        <w:rPr>
          <w:rFonts w:ascii="Arial" w:hAnsi="Arial" w:cs="Arial"/>
        </w:rPr>
        <w:t xml:space="preserve"> </w:t>
      </w:r>
    </w:p>
    <w:p w14:paraId="74009AA5" w14:textId="77777777" w:rsidR="00283AE6" w:rsidRPr="00966E5C" w:rsidRDefault="00283AE6" w:rsidP="00283AE6">
      <w:pPr>
        <w:spacing w:after="0" w:line="240" w:lineRule="auto"/>
        <w:jc w:val="both"/>
        <w:rPr>
          <w:rFonts w:ascii="Arial" w:hAnsi="Arial" w:cs="Arial"/>
          <w:color w:val="000000"/>
        </w:rPr>
      </w:pPr>
    </w:p>
    <w:p w14:paraId="5639AACB" w14:textId="77777777" w:rsidR="00283AE6" w:rsidRPr="00966E5C" w:rsidRDefault="00283AE6" w:rsidP="00283AE6">
      <w:pPr>
        <w:spacing w:after="0" w:line="240" w:lineRule="auto"/>
        <w:jc w:val="both"/>
        <w:rPr>
          <w:rFonts w:ascii="Arial" w:hAnsi="Arial" w:cs="Arial"/>
          <w:color w:val="000000"/>
        </w:rPr>
      </w:pPr>
    </w:p>
    <w:p w14:paraId="7D5A1B83"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On Behalf Of:</w:t>
      </w:r>
    </w:p>
    <w:p w14:paraId="04DE74C4"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Lerato Motaung                                                   </w:t>
      </w:r>
    </w:p>
    <w:p w14:paraId="65324690"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Registrar: Competition Tribunal                                         </w:t>
      </w:r>
    </w:p>
    <w:p w14:paraId="54C9E777"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lastRenderedPageBreak/>
        <w:t xml:space="preserve">Tel: (012) 394 3355                                              </w:t>
      </w:r>
    </w:p>
    <w:p w14:paraId="60C1A24F"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Cell: +27 (0) 82 556 3221                                               </w:t>
      </w:r>
    </w:p>
    <w:p w14:paraId="7F7CA7FB" w14:textId="77777777" w:rsidR="00283AE6" w:rsidRPr="00966E5C" w:rsidRDefault="00283AE6" w:rsidP="00283AE6">
      <w:pPr>
        <w:spacing w:after="0" w:line="240" w:lineRule="auto"/>
        <w:jc w:val="both"/>
        <w:rPr>
          <w:rFonts w:ascii="Arial" w:hAnsi="Arial" w:cs="Arial"/>
        </w:rPr>
      </w:pPr>
      <w:r w:rsidRPr="00966E5C">
        <w:rPr>
          <w:rFonts w:ascii="Arial" w:hAnsi="Arial" w:cs="Arial"/>
          <w:color w:val="000000"/>
          <w:lang w:eastAsia="en-ZA"/>
        </w:rPr>
        <w:t xml:space="preserve">E-Mail: </w:t>
      </w:r>
      <w:hyperlink r:id="rId6" w:history="1">
        <w:r w:rsidRPr="00966E5C">
          <w:rPr>
            <w:rStyle w:val="Hyperlink"/>
            <w:rFonts w:ascii="Arial" w:hAnsi="Arial" w:cs="Arial"/>
            <w:lang w:eastAsia="en-ZA"/>
          </w:rPr>
          <w:t>LeratoM@comptrib.co.za</w:t>
        </w:r>
      </w:hyperlink>
    </w:p>
    <w:p w14:paraId="6C454EFA" w14:textId="77777777" w:rsidR="003E6D12" w:rsidRDefault="00B02A1A"/>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E6"/>
    <w:rsid w:val="00283AE6"/>
    <w:rsid w:val="002A5A09"/>
    <w:rsid w:val="004755EC"/>
    <w:rsid w:val="00A5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FF17"/>
  <w15:chartTrackingRefBased/>
  <w15:docId w15:val="{02063C52-1C33-4E77-AECC-56277F0A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AE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AE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AE6"/>
    <w:rPr>
      <w:color w:val="0000FF"/>
      <w:u w:val="single"/>
    </w:rPr>
  </w:style>
  <w:style w:type="paragraph" w:styleId="BalloonText">
    <w:name w:val="Balloon Text"/>
    <w:basedOn w:val="Normal"/>
    <w:link w:val="BalloonTextChar"/>
    <w:uiPriority w:val="99"/>
    <w:semiHidden/>
    <w:unhideWhenUsed/>
    <w:rsid w:val="00A5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5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2019-04-24T15:40:00Z</dcterms:created>
  <dcterms:modified xsi:type="dcterms:W3CDTF">2019-04-24T15:40:00Z</dcterms:modified>
</cp:coreProperties>
</file>