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3A8" w:rsidRDefault="003F13A8" w:rsidP="003F13A8">
      <w:pPr>
        <w:jc w:val="center"/>
        <w:rPr>
          <w:rFonts w:cs="Arial"/>
          <w:b/>
          <w:sz w:val="23"/>
          <w:szCs w:val="23"/>
        </w:rPr>
      </w:pPr>
      <w:r w:rsidRPr="008E5895">
        <w:rPr>
          <w:b/>
          <w:noProof/>
          <w:lang w:val="en-US"/>
        </w:rPr>
        <w:drawing>
          <wp:inline distT="0" distB="0" distL="0" distR="0" wp14:anchorId="2DA4F5C0" wp14:editId="2C749580">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3F13A8" w:rsidRDefault="003F13A8" w:rsidP="003F13A8">
      <w:pPr>
        <w:jc w:val="right"/>
        <w:rPr>
          <w:rFonts w:cs="Arial"/>
          <w:b/>
          <w:sz w:val="23"/>
          <w:szCs w:val="23"/>
        </w:rPr>
      </w:pPr>
      <w:r>
        <w:rPr>
          <w:rFonts w:cs="Arial"/>
          <w:b/>
          <w:sz w:val="23"/>
          <w:szCs w:val="23"/>
        </w:rPr>
        <w:t>26 JANUARY, 2018</w:t>
      </w:r>
    </w:p>
    <w:p w:rsidR="003F13A8" w:rsidRDefault="003F13A8" w:rsidP="003F13A8">
      <w:pPr>
        <w:jc w:val="both"/>
        <w:rPr>
          <w:rFonts w:cs="Arial"/>
          <w:b/>
          <w:sz w:val="23"/>
          <w:szCs w:val="23"/>
        </w:rPr>
      </w:pPr>
    </w:p>
    <w:p w:rsidR="003F13A8" w:rsidRPr="00C77095" w:rsidRDefault="003F13A8" w:rsidP="003F13A8">
      <w:pPr>
        <w:jc w:val="both"/>
        <w:rPr>
          <w:rFonts w:cs="Arial"/>
          <w:b/>
          <w:sz w:val="23"/>
          <w:szCs w:val="23"/>
        </w:rPr>
      </w:pPr>
      <w:r w:rsidRPr="00C77095">
        <w:rPr>
          <w:rFonts w:cs="Arial"/>
          <w:b/>
          <w:sz w:val="23"/>
          <w:szCs w:val="23"/>
        </w:rPr>
        <w:t>Dairy sector merger between branded product supplier Woodlands Dairy and Fairfield</w:t>
      </w:r>
      <w:r>
        <w:rPr>
          <w:rFonts w:cs="Arial"/>
          <w:b/>
          <w:sz w:val="23"/>
          <w:szCs w:val="23"/>
        </w:rPr>
        <w:t xml:space="preserve"> Dairy conditionally approved</w:t>
      </w:r>
    </w:p>
    <w:p w:rsidR="003F13A8" w:rsidRDefault="003F13A8" w:rsidP="003F13A8">
      <w:pPr>
        <w:jc w:val="both"/>
        <w:rPr>
          <w:rFonts w:cs="Arial"/>
          <w:sz w:val="23"/>
          <w:szCs w:val="23"/>
        </w:rPr>
      </w:pPr>
      <w:r>
        <w:rPr>
          <w:rFonts w:cs="Arial"/>
          <w:sz w:val="23"/>
          <w:szCs w:val="23"/>
        </w:rPr>
        <w:t xml:space="preserve">The Tribunal has conditionally approved a merger between </w:t>
      </w:r>
      <w:proofErr w:type="spellStart"/>
      <w:r>
        <w:rPr>
          <w:rFonts w:cs="Arial"/>
          <w:sz w:val="23"/>
          <w:szCs w:val="23"/>
        </w:rPr>
        <w:t>Gutsche</w:t>
      </w:r>
      <w:proofErr w:type="spellEnd"/>
      <w:r>
        <w:rPr>
          <w:rFonts w:cs="Arial"/>
          <w:sz w:val="23"/>
          <w:szCs w:val="23"/>
        </w:rPr>
        <w:t xml:space="preserve"> Family Investments Proprietary Limited (“GFI”), which controls Woodlands Dairy, and Fairfield Diary Proprietary Limited (“Fairfield”). The relevant market in this merger is the national market for the manufacture and supply of butter, cheese, cream, flavoured milk, </w:t>
      </w:r>
      <w:proofErr w:type="spellStart"/>
      <w:r>
        <w:rPr>
          <w:rFonts w:cs="Arial"/>
          <w:sz w:val="23"/>
          <w:szCs w:val="23"/>
        </w:rPr>
        <w:t>Amasi</w:t>
      </w:r>
      <w:proofErr w:type="spellEnd"/>
      <w:r>
        <w:rPr>
          <w:rFonts w:cs="Arial"/>
          <w:sz w:val="23"/>
          <w:szCs w:val="23"/>
        </w:rPr>
        <w:t xml:space="preserve"> and raw milk. </w:t>
      </w:r>
    </w:p>
    <w:p w:rsidR="003F13A8" w:rsidRDefault="00257F9E" w:rsidP="003F13A8">
      <w:pPr>
        <w:jc w:val="both"/>
        <w:rPr>
          <w:rFonts w:cs="Arial"/>
          <w:sz w:val="23"/>
          <w:szCs w:val="23"/>
        </w:rPr>
      </w:pPr>
      <w:r>
        <w:rPr>
          <w:rFonts w:cs="Arial"/>
          <w:sz w:val="23"/>
          <w:szCs w:val="23"/>
        </w:rPr>
        <w:t>The merging parties intend</w:t>
      </w:r>
      <w:bookmarkStart w:id="0" w:name="_GoBack"/>
      <w:bookmarkEnd w:id="0"/>
      <w:r w:rsidR="003F13A8">
        <w:rPr>
          <w:rFonts w:cs="Arial"/>
          <w:sz w:val="23"/>
          <w:szCs w:val="23"/>
        </w:rPr>
        <w:t xml:space="preserve"> the transaction to be implemented in tranches spaced out over a number of years. The Commission accordingly recommended that the merger be approved subject to a condition. If the merged entity elected to effect the second tranche of its transaction after two years to the date of approval of this transaction, the merged entity would be required to notify that second tranche as a merger to the Commission. </w:t>
      </w:r>
    </w:p>
    <w:p w:rsidR="003F13A8" w:rsidRPr="00BF75F0" w:rsidRDefault="003F13A8" w:rsidP="003F13A8">
      <w:pPr>
        <w:rPr>
          <w:rFonts w:cs="Arial"/>
          <w:sz w:val="23"/>
          <w:szCs w:val="23"/>
        </w:rPr>
      </w:pPr>
      <w:r w:rsidRPr="00BF75F0">
        <w:rPr>
          <w:rFonts w:cs="Arial"/>
          <w:sz w:val="23"/>
          <w:szCs w:val="23"/>
        </w:rPr>
        <w:t>The majority of Woodlands dairy products sold are house branded products for large retailers.</w:t>
      </w:r>
    </w:p>
    <w:p w:rsidR="003F13A8" w:rsidRDefault="003F13A8" w:rsidP="003F13A8">
      <w:pPr>
        <w:jc w:val="both"/>
        <w:rPr>
          <w:rFonts w:cs="Arial"/>
          <w:sz w:val="23"/>
          <w:szCs w:val="23"/>
        </w:rPr>
      </w:pPr>
      <w:r w:rsidRPr="00AD23DF">
        <w:rPr>
          <w:rFonts w:cs="Arial"/>
          <w:sz w:val="23"/>
          <w:szCs w:val="23"/>
        </w:rPr>
        <w:t xml:space="preserve">Fairfield, based in KwaZulu-Natal, is a manufacturer of dairy, dairy related and short life fresh juice products for retailers and its own brand (Fairfield brand). </w:t>
      </w:r>
    </w:p>
    <w:p w:rsidR="003F13A8" w:rsidRDefault="003F13A8" w:rsidP="003F13A8">
      <w:pPr>
        <w:jc w:val="both"/>
        <w:rPr>
          <w:rFonts w:cs="Arial"/>
          <w:sz w:val="23"/>
          <w:szCs w:val="23"/>
        </w:rPr>
      </w:pPr>
      <w:r w:rsidRPr="00423681">
        <w:rPr>
          <w:rFonts w:ascii="Arial" w:hAnsi="Arial" w:cs="Arial"/>
          <w:color w:val="000000"/>
          <w:lang w:eastAsia="en-ZA"/>
        </w:rPr>
        <w:t xml:space="preserve">Issued by: </w:t>
      </w:r>
    </w:p>
    <w:p w:rsidR="003F13A8" w:rsidRPr="003F13A8" w:rsidRDefault="003F13A8" w:rsidP="003F13A8">
      <w:pPr>
        <w:spacing w:after="0"/>
        <w:jc w:val="both"/>
        <w:rPr>
          <w:rFonts w:cs="Arial"/>
          <w:sz w:val="23"/>
          <w:szCs w:val="23"/>
        </w:rPr>
      </w:pPr>
      <w:r w:rsidRPr="00423681">
        <w:rPr>
          <w:rFonts w:ascii="Arial" w:hAnsi="Arial" w:cs="Arial"/>
          <w:color w:val="000000"/>
          <w:lang w:eastAsia="en-ZA"/>
        </w:rPr>
        <w:t xml:space="preserve">Chantelle Benjamin </w:t>
      </w:r>
    </w:p>
    <w:p w:rsidR="003F13A8" w:rsidRPr="00423681" w:rsidRDefault="003F13A8" w:rsidP="003F13A8">
      <w:pPr>
        <w:spacing w:after="0"/>
        <w:ind w:right="454"/>
        <w:jc w:val="both"/>
        <w:rPr>
          <w:rFonts w:ascii="Arial" w:hAnsi="Arial" w:cs="Arial"/>
          <w:color w:val="000000"/>
          <w:lang w:eastAsia="en-ZA"/>
        </w:rPr>
      </w:pPr>
      <w:r w:rsidRPr="00423681">
        <w:rPr>
          <w:rFonts w:ascii="Arial" w:hAnsi="Arial" w:cs="Arial"/>
          <w:color w:val="000000"/>
          <w:lang w:eastAsia="en-ZA"/>
        </w:rPr>
        <w:t>Communications: Competition Tribunal   </w:t>
      </w:r>
    </w:p>
    <w:p w:rsidR="003F13A8" w:rsidRPr="00423681" w:rsidRDefault="003F13A8" w:rsidP="003F13A8">
      <w:pPr>
        <w:spacing w:after="0"/>
        <w:ind w:right="454"/>
        <w:jc w:val="both"/>
        <w:rPr>
          <w:rFonts w:ascii="Arial" w:hAnsi="Arial" w:cs="Arial"/>
          <w:color w:val="000000"/>
          <w:lang w:eastAsia="en-ZA"/>
        </w:rPr>
      </w:pPr>
      <w:r w:rsidRPr="00423681">
        <w:rPr>
          <w:rFonts w:ascii="Arial" w:hAnsi="Arial" w:cs="Arial"/>
          <w:color w:val="000000"/>
          <w:lang w:eastAsia="en-ZA"/>
        </w:rPr>
        <w:t xml:space="preserve">Tel (012)394 1383                                      </w:t>
      </w:r>
    </w:p>
    <w:p w:rsidR="003F13A8" w:rsidRPr="00423681" w:rsidRDefault="003F13A8" w:rsidP="003F13A8">
      <w:pPr>
        <w:spacing w:after="0"/>
        <w:ind w:right="454"/>
        <w:jc w:val="both"/>
        <w:rPr>
          <w:rFonts w:ascii="Arial" w:hAnsi="Arial" w:cs="Arial"/>
          <w:color w:val="000000"/>
          <w:lang w:eastAsia="en-ZA"/>
        </w:rPr>
      </w:pPr>
      <w:r w:rsidRPr="00423681">
        <w:rPr>
          <w:rFonts w:ascii="Arial" w:hAnsi="Arial" w:cs="Arial"/>
          <w:color w:val="000000"/>
          <w:lang w:eastAsia="en-ZA"/>
        </w:rPr>
        <w:t>Cell: +27 (0) 73 007 5603  </w:t>
      </w:r>
    </w:p>
    <w:p w:rsidR="003F13A8" w:rsidRPr="00423681" w:rsidRDefault="003F13A8" w:rsidP="003F13A8">
      <w:pPr>
        <w:spacing w:after="0"/>
        <w:ind w:right="454"/>
        <w:jc w:val="both"/>
        <w:rPr>
          <w:rFonts w:ascii="Arial" w:hAnsi="Arial" w:cs="Arial"/>
          <w:lang w:eastAsia="en-ZA"/>
        </w:rPr>
      </w:pPr>
      <w:r w:rsidRPr="00423681">
        <w:rPr>
          <w:rFonts w:ascii="Arial" w:hAnsi="Arial" w:cs="Arial"/>
          <w:color w:val="000000"/>
          <w:lang w:eastAsia="en-ZA"/>
        </w:rPr>
        <w:t xml:space="preserve">Twitter: @comptrib                                        </w:t>
      </w:r>
    </w:p>
    <w:p w:rsidR="003F13A8" w:rsidRPr="00423681" w:rsidRDefault="003F13A8" w:rsidP="003F13A8">
      <w:pPr>
        <w:spacing w:after="0"/>
        <w:ind w:right="454"/>
        <w:jc w:val="both"/>
        <w:rPr>
          <w:rFonts w:ascii="Arial" w:hAnsi="Arial" w:cs="Arial"/>
        </w:rPr>
      </w:pPr>
      <w:r w:rsidRPr="00423681">
        <w:rPr>
          <w:rFonts w:ascii="Arial" w:hAnsi="Arial" w:cs="Arial"/>
          <w:color w:val="000000"/>
          <w:lang w:eastAsia="en-ZA"/>
        </w:rPr>
        <w:t xml:space="preserve">E-Mail: </w:t>
      </w:r>
      <w:hyperlink r:id="rId5" w:history="1">
        <w:r w:rsidRPr="00423681">
          <w:rPr>
            <w:rStyle w:val="Hyperlink"/>
            <w:rFonts w:ascii="Arial" w:hAnsi="Arial" w:cs="Arial"/>
            <w:lang w:eastAsia="en-ZA"/>
          </w:rPr>
          <w:t>chantelleb@comptrib.co.za</w:t>
        </w:r>
      </w:hyperlink>
      <w:r w:rsidRPr="00423681">
        <w:rPr>
          <w:rFonts w:ascii="Arial" w:hAnsi="Arial" w:cs="Arial"/>
        </w:rPr>
        <w:t xml:space="preserve"> </w:t>
      </w:r>
    </w:p>
    <w:p w:rsidR="003F13A8" w:rsidRPr="00423681" w:rsidRDefault="003F13A8" w:rsidP="003F13A8">
      <w:pPr>
        <w:spacing w:after="0"/>
        <w:ind w:left="454" w:right="454"/>
        <w:jc w:val="both"/>
        <w:rPr>
          <w:rFonts w:ascii="Arial" w:hAnsi="Arial" w:cs="Arial"/>
          <w:color w:val="000000"/>
        </w:rPr>
      </w:pPr>
    </w:p>
    <w:p w:rsidR="003F13A8" w:rsidRPr="00423681" w:rsidRDefault="003F13A8" w:rsidP="003F13A8">
      <w:pPr>
        <w:spacing w:after="0"/>
        <w:ind w:left="454" w:right="454"/>
        <w:jc w:val="both"/>
        <w:rPr>
          <w:rFonts w:ascii="Arial" w:hAnsi="Arial" w:cs="Arial"/>
          <w:color w:val="000000"/>
        </w:rPr>
      </w:pPr>
    </w:p>
    <w:p w:rsidR="003F13A8" w:rsidRPr="00423681" w:rsidRDefault="003F13A8" w:rsidP="003F13A8">
      <w:pPr>
        <w:spacing w:after="0"/>
        <w:ind w:right="454"/>
        <w:jc w:val="both"/>
        <w:rPr>
          <w:rFonts w:ascii="Arial" w:hAnsi="Arial" w:cs="Arial"/>
          <w:lang w:eastAsia="en-ZA"/>
        </w:rPr>
      </w:pPr>
      <w:r w:rsidRPr="00423681">
        <w:rPr>
          <w:rFonts w:ascii="Arial" w:hAnsi="Arial" w:cs="Arial"/>
          <w:color w:val="000000"/>
          <w:lang w:eastAsia="en-ZA"/>
        </w:rPr>
        <w:t>On Behalf Of:</w:t>
      </w:r>
    </w:p>
    <w:p w:rsidR="003F13A8" w:rsidRPr="00423681" w:rsidRDefault="003F13A8" w:rsidP="003F13A8">
      <w:pPr>
        <w:spacing w:after="0"/>
        <w:ind w:right="454"/>
        <w:jc w:val="both"/>
        <w:rPr>
          <w:rFonts w:ascii="Arial" w:hAnsi="Arial" w:cs="Arial"/>
          <w:lang w:eastAsia="en-ZA"/>
        </w:rPr>
      </w:pPr>
      <w:r w:rsidRPr="00423681">
        <w:rPr>
          <w:rFonts w:ascii="Arial" w:hAnsi="Arial" w:cs="Arial"/>
          <w:color w:val="000000"/>
          <w:lang w:eastAsia="en-ZA"/>
        </w:rPr>
        <w:t>Lerato Motaung                                                   </w:t>
      </w:r>
    </w:p>
    <w:p w:rsidR="003F13A8" w:rsidRPr="00423681" w:rsidRDefault="003F13A8" w:rsidP="003F13A8">
      <w:pPr>
        <w:spacing w:after="0"/>
        <w:ind w:right="454"/>
        <w:jc w:val="both"/>
        <w:rPr>
          <w:rFonts w:ascii="Arial" w:hAnsi="Arial" w:cs="Arial"/>
          <w:lang w:eastAsia="en-ZA"/>
        </w:rPr>
      </w:pPr>
      <w:r w:rsidRPr="00423681">
        <w:rPr>
          <w:rFonts w:ascii="Arial" w:hAnsi="Arial" w:cs="Arial"/>
          <w:color w:val="000000"/>
          <w:lang w:eastAsia="en-ZA"/>
        </w:rPr>
        <w:t xml:space="preserve">Registrar: Competition Tribunal                                         </w:t>
      </w:r>
    </w:p>
    <w:p w:rsidR="003F13A8" w:rsidRPr="00423681" w:rsidRDefault="003F13A8" w:rsidP="003F13A8">
      <w:pPr>
        <w:spacing w:after="0"/>
        <w:ind w:right="454"/>
        <w:jc w:val="both"/>
        <w:rPr>
          <w:rFonts w:ascii="Arial" w:hAnsi="Arial" w:cs="Arial"/>
          <w:lang w:eastAsia="en-ZA"/>
        </w:rPr>
      </w:pPr>
      <w:r w:rsidRPr="00423681">
        <w:rPr>
          <w:rFonts w:ascii="Arial" w:hAnsi="Arial" w:cs="Arial"/>
          <w:color w:val="000000"/>
          <w:lang w:eastAsia="en-ZA"/>
        </w:rPr>
        <w:t xml:space="preserve">Tel: (012) 394 3355                                              </w:t>
      </w:r>
    </w:p>
    <w:p w:rsidR="003F13A8" w:rsidRPr="00423681" w:rsidRDefault="003F13A8" w:rsidP="003F13A8">
      <w:pPr>
        <w:spacing w:after="0"/>
        <w:ind w:right="454"/>
        <w:jc w:val="both"/>
        <w:rPr>
          <w:rFonts w:ascii="Arial" w:hAnsi="Arial" w:cs="Arial"/>
          <w:lang w:eastAsia="en-ZA"/>
        </w:rPr>
      </w:pPr>
      <w:r w:rsidRPr="00423681">
        <w:rPr>
          <w:rFonts w:ascii="Arial" w:hAnsi="Arial" w:cs="Arial"/>
          <w:color w:val="000000"/>
          <w:lang w:eastAsia="en-ZA"/>
        </w:rPr>
        <w:t xml:space="preserve">Cell: +27 (0) 82 556 3221                                               </w:t>
      </w:r>
    </w:p>
    <w:p w:rsidR="003F13A8" w:rsidRPr="00423681" w:rsidRDefault="003F13A8" w:rsidP="003F13A8">
      <w:pPr>
        <w:spacing w:after="0"/>
        <w:ind w:right="454"/>
        <w:jc w:val="both"/>
        <w:rPr>
          <w:rFonts w:ascii="Arial" w:hAnsi="Arial" w:cs="Arial"/>
        </w:rPr>
      </w:pPr>
      <w:r w:rsidRPr="00423681">
        <w:rPr>
          <w:rFonts w:ascii="Arial" w:hAnsi="Arial" w:cs="Arial"/>
          <w:color w:val="000000"/>
          <w:lang w:eastAsia="en-ZA"/>
        </w:rPr>
        <w:t xml:space="preserve">E-Mail: </w:t>
      </w:r>
      <w:hyperlink r:id="rId6" w:history="1">
        <w:r w:rsidRPr="00423681">
          <w:rPr>
            <w:rStyle w:val="Hyperlink"/>
            <w:rFonts w:ascii="Arial" w:hAnsi="Arial" w:cs="Arial"/>
            <w:lang w:eastAsia="en-ZA"/>
          </w:rPr>
          <w:t>LeratoM@comptrib.co.za</w:t>
        </w:r>
      </w:hyperlink>
    </w:p>
    <w:p w:rsidR="003F13A8" w:rsidRDefault="003F13A8" w:rsidP="003F13A8">
      <w:pPr>
        <w:jc w:val="both"/>
        <w:rPr>
          <w:rFonts w:cs="Arial"/>
          <w:sz w:val="23"/>
          <w:szCs w:val="23"/>
        </w:rPr>
      </w:pPr>
    </w:p>
    <w:p w:rsidR="003F13A8" w:rsidRPr="00BF75F0" w:rsidRDefault="003F13A8" w:rsidP="003F13A8">
      <w:pPr>
        <w:jc w:val="both"/>
        <w:rPr>
          <w:rFonts w:cs="Arial"/>
          <w:sz w:val="23"/>
          <w:szCs w:val="23"/>
        </w:rPr>
      </w:pPr>
    </w:p>
    <w:p w:rsidR="00C76E47" w:rsidRDefault="00C76E47"/>
    <w:sectPr w:rsidR="00C76E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3A8"/>
    <w:rsid w:val="00257F9E"/>
    <w:rsid w:val="002A5A09"/>
    <w:rsid w:val="003F13A8"/>
    <w:rsid w:val="004755EC"/>
    <w:rsid w:val="00582D22"/>
    <w:rsid w:val="00946549"/>
    <w:rsid w:val="00C7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F90E0-1A57-4ADF-93BC-EBF171EF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3A8"/>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3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2</cp:revision>
  <dcterms:created xsi:type="dcterms:W3CDTF">2018-01-26T12:35:00Z</dcterms:created>
  <dcterms:modified xsi:type="dcterms:W3CDTF">2018-01-26T12:35:00Z</dcterms:modified>
</cp:coreProperties>
</file>