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F01" w:rsidRDefault="00B74F01" w:rsidP="00B74F01">
      <w:pPr>
        <w:pStyle w:val="Default"/>
        <w:ind w:left="567" w:right="567"/>
        <w:rPr>
          <w:b/>
          <w:bCs/>
        </w:rPr>
      </w:pPr>
      <w:r>
        <w:rPr>
          <w:b/>
          <w:bCs/>
        </w:rPr>
        <w:t xml:space="preserve">IMMEDIATE RELEASE </w:t>
      </w:r>
    </w:p>
    <w:p w:rsidR="00B74F01" w:rsidRDefault="00EE0F15" w:rsidP="00B74F01">
      <w:pPr>
        <w:pStyle w:val="Default"/>
        <w:ind w:left="567" w:right="567"/>
        <w:rPr>
          <w:b/>
          <w:bCs/>
        </w:rPr>
      </w:pPr>
      <w:r>
        <w:rPr>
          <w:b/>
          <w:bCs/>
        </w:rPr>
        <w:t>22</w:t>
      </w:r>
      <w:r w:rsidR="00B74F01">
        <w:rPr>
          <w:b/>
          <w:bCs/>
        </w:rPr>
        <w:t xml:space="preserve"> NOVEMBER, 2017</w:t>
      </w:r>
    </w:p>
    <w:p w:rsidR="00B74F01" w:rsidRDefault="00B74F01" w:rsidP="00B74F01">
      <w:pPr>
        <w:pStyle w:val="Default"/>
        <w:ind w:left="567" w:right="567"/>
        <w:jc w:val="center"/>
      </w:pPr>
    </w:p>
    <w:p w:rsidR="00B74F01" w:rsidRDefault="00B74F01" w:rsidP="00B74F01">
      <w:pPr>
        <w:pStyle w:val="Default"/>
        <w:ind w:left="567" w:right="567"/>
        <w:jc w:val="center"/>
      </w:pPr>
    </w:p>
    <w:p w:rsidR="00B74F01" w:rsidRDefault="00B74F01" w:rsidP="00B74F01">
      <w:pPr>
        <w:pStyle w:val="Default"/>
        <w:ind w:left="567" w:right="567"/>
        <w:jc w:val="center"/>
      </w:pPr>
      <w:r>
        <w:rPr>
          <w:b/>
          <w:bCs/>
          <w:noProof/>
          <w:lang w:eastAsia="en-ZA"/>
        </w:rPr>
        <w:drawing>
          <wp:inline distT="0" distB="0" distL="0" distR="0">
            <wp:extent cx="1092200" cy="736600"/>
            <wp:effectExtent l="0" t="0" r="0" b="6350"/>
            <wp:docPr id="1" name="Picture 1" descr="cid:image001.jpg@01D362EB.8B95E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62EB.8B95E71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092200" cy="736600"/>
                    </a:xfrm>
                    <a:prstGeom prst="rect">
                      <a:avLst/>
                    </a:prstGeom>
                    <a:noFill/>
                    <a:ln>
                      <a:noFill/>
                    </a:ln>
                  </pic:spPr>
                </pic:pic>
              </a:graphicData>
            </a:graphic>
          </wp:inline>
        </w:drawing>
      </w:r>
    </w:p>
    <w:p w:rsidR="00B74F01" w:rsidRDefault="00B74F01" w:rsidP="00B74F01">
      <w:pPr>
        <w:pStyle w:val="Default"/>
        <w:ind w:left="567" w:right="567"/>
        <w:rPr>
          <w:b/>
          <w:bCs/>
        </w:rPr>
      </w:pPr>
    </w:p>
    <w:p w:rsidR="00B74F01" w:rsidRDefault="00B74F01" w:rsidP="00B74F01">
      <w:pPr>
        <w:pStyle w:val="Default"/>
        <w:ind w:left="567" w:right="567"/>
        <w:rPr>
          <w:b/>
          <w:bCs/>
        </w:rPr>
      </w:pPr>
    </w:p>
    <w:p w:rsidR="00B74F01" w:rsidRDefault="00B74F01" w:rsidP="00B74F01">
      <w:pPr>
        <w:spacing w:after="0"/>
        <w:ind w:left="567" w:right="567"/>
        <w:jc w:val="center"/>
        <w:rPr>
          <w:rFonts w:ascii="Arial" w:hAnsi="Arial" w:cs="Arial"/>
          <w:b/>
          <w:bCs/>
          <w:sz w:val="24"/>
          <w:szCs w:val="24"/>
        </w:rPr>
      </w:pPr>
    </w:p>
    <w:p w:rsidR="00B74F01" w:rsidRDefault="00A738AD" w:rsidP="00B74F01">
      <w:pPr>
        <w:spacing w:after="0" w:line="240" w:lineRule="auto"/>
        <w:ind w:left="567" w:right="567"/>
        <w:jc w:val="center"/>
        <w:rPr>
          <w:rFonts w:ascii="Arial" w:hAnsi="Arial" w:cs="Arial"/>
          <w:b/>
          <w:bCs/>
        </w:rPr>
      </w:pPr>
      <w:r>
        <w:rPr>
          <w:rFonts w:ascii="Arial" w:hAnsi="Arial" w:cs="Arial"/>
          <w:b/>
          <w:bCs/>
        </w:rPr>
        <w:t xml:space="preserve">OUTCOME OF </w:t>
      </w:r>
      <w:r w:rsidR="00B74F01">
        <w:rPr>
          <w:rFonts w:ascii="Arial" w:hAnsi="Arial" w:cs="Arial"/>
          <w:b/>
          <w:bCs/>
        </w:rPr>
        <w:t xml:space="preserve">TRIBUNAL </w:t>
      </w:r>
      <w:r>
        <w:rPr>
          <w:rFonts w:ascii="Arial" w:hAnsi="Arial" w:cs="Arial"/>
          <w:b/>
          <w:bCs/>
        </w:rPr>
        <w:t xml:space="preserve">HEARINGS - </w:t>
      </w:r>
      <w:r w:rsidR="00B74F01">
        <w:rPr>
          <w:rFonts w:ascii="Arial" w:hAnsi="Arial" w:cs="Arial"/>
          <w:b/>
          <w:bCs/>
        </w:rPr>
        <w:t>WEDNESDAY, 22 NOVEMBER, 2017</w:t>
      </w:r>
    </w:p>
    <w:p w:rsidR="00B74F01" w:rsidRDefault="00B74F01" w:rsidP="00B74F01">
      <w:pPr>
        <w:ind w:left="567" w:right="567"/>
        <w:jc w:val="both"/>
      </w:pPr>
    </w:p>
    <w:tbl>
      <w:tblPr>
        <w:tblW w:w="9016" w:type="dxa"/>
        <w:tblInd w:w="-10" w:type="dxa"/>
        <w:tblCellMar>
          <w:left w:w="0" w:type="dxa"/>
          <w:right w:w="0" w:type="dxa"/>
        </w:tblCellMar>
        <w:tblLook w:val="04A0" w:firstRow="1" w:lastRow="0" w:firstColumn="1" w:lastColumn="0" w:noHBand="0" w:noVBand="1"/>
      </w:tblPr>
      <w:tblGrid>
        <w:gridCol w:w="1842"/>
        <w:gridCol w:w="2650"/>
        <w:gridCol w:w="2422"/>
        <w:gridCol w:w="2102"/>
      </w:tblGrid>
      <w:tr w:rsidR="00EE0F15" w:rsidTr="00EE0F15">
        <w:trPr>
          <w:trHeight w:val="972"/>
        </w:trPr>
        <w:tc>
          <w:tcPr>
            <w:tcW w:w="1842" w:type="dxa"/>
            <w:tcBorders>
              <w:top w:val="single" w:sz="8" w:space="0" w:color="996633"/>
              <w:left w:val="single" w:sz="8" w:space="0" w:color="996633"/>
              <w:bottom w:val="single" w:sz="8" w:space="0" w:color="996633"/>
              <w:right w:val="single" w:sz="8" w:space="0" w:color="996633"/>
            </w:tcBorders>
            <w:shd w:val="clear" w:color="auto" w:fill="996633"/>
            <w:tcMar>
              <w:top w:w="0" w:type="dxa"/>
              <w:left w:w="108" w:type="dxa"/>
              <w:bottom w:w="0" w:type="dxa"/>
              <w:right w:w="108" w:type="dxa"/>
            </w:tcMar>
            <w:hideMark/>
          </w:tcPr>
          <w:p w:rsidR="00EE0F15" w:rsidRDefault="00EE0F15">
            <w:pPr>
              <w:spacing w:after="0"/>
              <w:ind w:right="567"/>
              <w:rPr>
                <w:rFonts w:ascii="Arial" w:hAnsi="Arial" w:cs="Arial"/>
                <w:color w:val="FFFFFF"/>
              </w:rPr>
            </w:pPr>
            <w:r>
              <w:rPr>
                <w:rFonts w:ascii="Arial" w:hAnsi="Arial" w:cs="Arial"/>
                <w:color w:val="FFFFFF"/>
              </w:rPr>
              <w:t>Type of matter</w:t>
            </w:r>
          </w:p>
        </w:tc>
        <w:tc>
          <w:tcPr>
            <w:tcW w:w="2650" w:type="dxa"/>
            <w:tcBorders>
              <w:top w:val="single" w:sz="8" w:space="0" w:color="996633"/>
              <w:left w:val="nil"/>
              <w:bottom w:val="single" w:sz="8" w:space="0" w:color="996633"/>
              <w:right w:val="single" w:sz="8" w:space="0" w:color="996633"/>
            </w:tcBorders>
            <w:shd w:val="clear" w:color="auto" w:fill="996633"/>
            <w:tcMar>
              <w:top w:w="0" w:type="dxa"/>
              <w:left w:w="108" w:type="dxa"/>
              <w:bottom w:w="0" w:type="dxa"/>
              <w:right w:w="108" w:type="dxa"/>
            </w:tcMar>
            <w:hideMark/>
          </w:tcPr>
          <w:p w:rsidR="00EE0F15" w:rsidRDefault="00EE0F15">
            <w:pPr>
              <w:spacing w:after="0"/>
              <w:ind w:right="567"/>
              <w:rPr>
                <w:rFonts w:ascii="Arial" w:hAnsi="Arial" w:cs="Arial"/>
                <w:color w:val="FFFFFF"/>
              </w:rPr>
            </w:pPr>
            <w:r>
              <w:rPr>
                <w:rFonts w:ascii="Arial" w:hAnsi="Arial" w:cs="Arial"/>
                <w:color w:val="FFFFFF"/>
              </w:rPr>
              <w:t>Parties involved</w:t>
            </w:r>
          </w:p>
        </w:tc>
        <w:tc>
          <w:tcPr>
            <w:tcW w:w="2422" w:type="dxa"/>
            <w:tcBorders>
              <w:top w:val="single" w:sz="8" w:space="0" w:color="996633"/>
              <w:left w:val="nil"/>
              <w:bottom w:val="single" w:sz="8" w:space="0" w:color="996633"/>
              <w:right w:val="single" w:sz="8" w:space="0" w:color="996633"/>
            </w:tcBorders>
            <w:shd w:val="clear" w:color="auto" w:fill="996633"/>
            <w:tcMar>
              <w:top w:w="0" w:type="dxa"/>
              <w:left w:w="108" w:type="dxa"/>
              <w:bottom w:w="0" w:type="dxa"/>
              <w:right w:w="108" w:type="dxa"/>
            </w:tcMar>
            <w:hideMark/>
          </w:tcPr>
          <w:p w:rsidR="00EE0F15" w:rsidRDefault="00EE0F15">
            <w:pPr>
              <w:spacing w:after="0"/>
              <w:ind w:right="567"/>
              <w:rPr>
                <w:rFonts w:ascii="Arial" w:hAnsi="Arial" w:cs="Arial"/>
                <w:color w:val="FFFFFF"/>
              </w:rPr>
            </w:pPr>
            <w:r>
              <w:rPr>
                <w:rFonts w:ascii="Arial" w:hAnsi="Arial" w:cs="Arial"/>
                <w:color w:val="FFFFFF"/>
              </w:rPr>
              <w:t>Competition Commission’s recommendation to Tribunal</w:t>
            </w:r>
          </w:p>
        </w:tc>
        <w:tc>
          <w:tcPr>
            <w:tcW w:w="2102" w:type="dxa"/>
            <w:tcBorders>
              <w:top w:val="single" w:sz="8" w:space="0" w:color="996633"/>
              <w:left w:val="nil"/>
              <w:bottom w:val="single" w:sz="8" w:space="0" w:color="996633"/>
              <w:right w:val="single" w:sz="8" w:space="0" w:color="996633"/>
            </w:tcBorders>
            <w:shd w:val="clear" w:color="auto" w:fill="996633"/>
          </w:tcPr>
          <w:p w:rsidR="00EE0F15" w:rsidRDefault="00EE0F15" w:rsidP="00EE0F15">
            <w:pPr>
              <w:spacing w:after="0"/>
              <w:ind w:right="57"/>
              <w:rPr>
                <w:rFonts w:ascii="Arial" w:hAnsi="Arial" w:cs="Arial"/>
                <w:color w:val="FFFFFF"/>
              </w:rPr>
            </w:pPr>
            <w:r>
              <w:rPr>
                <w:rFonts w:ascii="Arial" w:hAnsi="Arial" w:cs="Arial"/>
                <w:color w:val="FFFFFF"/>
              </w:rPr>
              <w:t xml:space="preserve"> Tribunal      decisions</w:t>
            </w:r>
          </w:p>
        </w:tc>
      </w:tr>
      <w:tr w:rsidR="00EE0F15" w:rsidTr="00EE0F15">
        <w:trPr>
          <w:trHeight w:val="493"/>
        </w:trPr>
        <w:tc>
          <w:tcPr>
            <w:tcW w:w="1842"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rsidR="00EE0F15" w:rsidRDefault="00EE0F15">
            <w:pPr>
              <w:spacing w:after="0"/>
              <w:ind w:right="567"/>
              <w:jc w:val="both"/>
              <w:rPr>
                <w:rFonts w:ascii="Arial" w:hAnsi="Arial" w:cs="Arial"/>
              </w:rPr>
            </w:pPr>
            <w:r>
              <w:rPr>
                <w:rFonts w:ascii="Arial" w:hAnsi="Arial" w:cs="Arial"/>
              </w:rPr>
              <w:t>Consent agreement</w:t>
            </w:r>
          </w:p>
        </w:tc>
        <w:tc>
          <w:tcPr>
            <w:tcW w:w="2650" w:type="dxa"/>
            <w:tcBorders>
              <w:top w:val="nil"/>
              <w:left w:val="nil"/>
              <w:bottom w:val="single" w:sz="8" w:space="0" w:color="996633"/>
              <w:right w:val="single" w:sz="8" w:space="0" w:color="996633"/>
            </w:tcBorders>
            <w:tcMar>
              <w:top w:w="0" w:type="dxa"/>
              <w:left w:w="108" w:type="dxa"/>
              <w:bottom w:w="0" w:type="dxa"/>
              <w:right w:w="108" w:type="dxa"/>
            </w:tcMar>
            <w:hideMark/>
          </w:tcPr>
          <w:p w:rsidR="00EE0F15" w:rsidRDefault="00EE0F15">
            <w:pPr>
              <w:spacing w:after="0"/>
              <w:ind w:right="567"/>
              <w:jc w:val="both"/>
              <w:rPr>
                <w:rFonts w:ascii="Arial" w:hAnsi="Arial" w:cs="Arial"/>
                <w:color w:val="000000"/>
              </w:rPr>
            </w:pPr>
            <w:r>
              <w:rPr>
                <w:rFonts w:ascii="Arial" w:hAnsi="Arial" w:cs="Arial"/>
                <w:color w:val="000000"/>
              </w:rPr>
              <w:t>Competition Commission And Autoliv Inc.</w:t>
            </w:r>
          </w:p>
        </w:tc>
        <w:tc>
          <w:tcPr>
            <w:tcW w:w="2422" w:type="dxa"/>
            <w:tcBorders>
              <w:top w:val="nil"/>
              <w:left w:val="nil"/>
              <w:bottom w:val="single" w:sz="8" w:space="0" w:color="996633"/>
              <w:right w:val="single" w:sz="8" w:space="0" w:color="996633"/>
            </w:tcBorders>
            <w:tcMar>
              <w:top w:w="0" w:type="dxa"/>
              <w:left w:w="108" w:type="dxa"/>
              <w:bottom w:w="0" w:type="dxa"/>
              <w:right w:w="108" w:type="dxa"/>
            </w:tcMar>
            <w:hideMark/>
          </w:tcPr>
          <w:p w:rsidR="00EE0F15" w:rsidRDefault="00EE0F15">
            <w:pPr>
              <w:spacing w:after="0"/>
              <w:ind w:right="567"/>
              <w:jc w:val="both"/>
              <w:rPr>
                <w:rFonts w:ascii="Arial" w:hAnsi="Arial" w:cs="Arial"/>
              </w:rPr>
            </w:pPr>
            <w:r>
              <w:rPr>
                <w:rFonts w:ascii="Arial" w:hAnsi="Arial" w:cs="Arial"/>
              </w:rPr>
              <w:t xml:space="preserve">Confirm settlement </w:t>
            </w:r>
          </w:p>
        </w:tc>
        <w:tc>
          <w:tcPr>
            <w:tcW w:w="2102" w:type="dxa"/>
            <w:tcBorders>
              <w:top w:val="nil"/>
              <w:left w:val="nil"/>
              <w:bottom w:val="single" w:sz="8" w:space="0" w:color="996633"/>
              <w:right w:val="single" w:sz="8" w:space="0" w:color="996633"/>
            </w:tcBorders>
          </w:tcPr>
          <w:p w:rsidR="00EE0F15" w:rsidRDefault="00EE0F15">
            <w:pPr>
              <w:spacing w:after="0"/>
              <w:ind w:right="567"/>
              <w:jc w:val="both"/>
              <w:rPr>
                <w:rFonts w:ascii="Arial" w:hAnsi="Arial" w:cs="Arial"/>
              </w:rPr>
            </w:pPr>
            <w:r>
              <w:rPr>
                <w:rFonts w:ascii="Arial" w:hAnsi="Arial" w:cs="Arial"/>
              </w:rPr>
              <w:t xml:space="preserve"> Confirmed settlement </w:t>
            </w:r>
          </w:p>
        </w:tc>
      </w:tr>
      <w:tr w:rsidR="00EE0F15" w:rsidTr="00EE0F15">
        <w:trPr>
          <w:trHeight w:val="493"/>
        </w:trPr>
        <w:tc>
          <w:tcPr>
            <w:tcW w:w="1842"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rsidR="00EE0F15" w:rsidRDefault="00EE0F15">
            <w:pPr>
              <w:spacing w:after="0"/>
              <w:ind w:right="567"/>
              <w:jc w:val="both"/>
              <w:rPr>
                <w:rFonts w:ascii="Arial" w:hAnsi="Arial" w:cs="Arial"/>
              </w:rPr>
            </w:pPr>
            <w:r>
              <w:rPr>
                <w:rFonts w:ascii="Arial" w:hAnsi="Arial" w:cs="Arial"/>
              </w:rPr>
              <w:t xml:space="preserve">Large merger </w:t>
            </w:r>
          </w:p>
        </w:tc>
        <w:tc>
          <w:tcPr>
            <w:tcW w:w="2650" w:type="dxa"/>
            <w:tcBorders>
              <w:top w:val="nil"/>
              <w:left w:val="nil"/>
              <w:bottom w:val="single" w:sz="8" w:space="0" w:color="996633"/>
              <w:right w:val="single" w:sz="8" w:space="0" w:color="996633"/>
            </w:tcBorders>
            <w:tcMar>
              <w:top w:w="0" w:type="dxa"/>
              <w:left w:w="108" w:type="dxa"/>
              <w:bottom w:w="0" w:type="dxa"/>
              <w:right w:w="108" w:type="dxa"/>
            </w:tcMar>
            <w:hideMark/>
          </w:tcPr>
          <w:p w:rsidR="00EE0F15" w:rsidRDefault="00EE0F15">
            <w:pPr>
              <w:spacing w:after="0"/>
              <w:ind w:right="567"/>
              <w:jc w:val="both"/>
              <w:rPr>
                <w:rFonts w:ascii="Arial" w:hAnsi="Arial" w:cs="Arial"/>
              </w:rPr>
            </w:pPr>
            <w:r>
              <w:rPr>
                <w:rFonts w:ascii="Arial" w:hAnsi="Arial" w:cs="Arial"/>
                <w:color w:val="000000"/>
              </w:rPr>
              <w:t>DENEB Investments Limited And New Just Fun Group (Pty) Ltd</w:t>
            </w:r>
          </w:p>
        </w:tc>
        <w:tc>
          <w:tcPr>
            <w:tcW w:w="2422" w:type="dxa"/>
            <w:tcBorders>
              <w:top w:val="nil"/>
              <w:left w:val="nil"/>
              <w:bottom w:val="single" w:sz="8" w:space="0" w:color="996633"/>
              <w:right w:val="single" w:sz="8" w:space="0" w:color="996633"/>
            </w:tcBorders>
            <w:tcMar>
              <w:top w:w="0" w:type="dxa"/>
              <w:left w:w="108" w:type="dxa"/>
              <w:bottom w:w="0" w:type="dxa"/>
              <w:right w:w="108" w:type="dxa"/>
            </w:tcMar>
            <w:hideMark/>
          </w:tcPr>
          <w:p w:rsidR="00EE0F15" w:rsidRDefault="00EE0F15">
            <w:pPr>
              <w:spacing w:after="0"/>
              <w:ind w:right="567"/>
              <w:jc w:val="both"/>
              <w:rPr>
                <w:rFonts w:ascii="Arial" w:hAnsi="Arial" w:cs="Arial"/>
              </w:rPr>
            </w:pPr>
            <w:r>
              <w:rPr>
                <w:rFonts w:ascii="Arial" w:hAnsi="Arial" w:cs="Arial"/>
              </w:rPr>
              <w:t xml:space="preserve">Approve with conditions </w:t>
            </w:r>
          </w:p>
        </w:tc>
        <w:tc>
          <w:tcPr>
            <w:tcW w:w="2102" w:type="dxa"/>
            <w:tcBorders>
              <w:top w:val="nil"/>
              <w:left w:val="nil"/>
              <w:bottom w:val="single" w:sz="8" w:space="0" w:color="996633"/>
              <w:right w:val="single" w:sz="8" w:space="0" w:color="996633"/>
            </w:tcBorders>
          </w:tcPr>
          <w:p w:rsidR="00EE0F15" w:rsidRDefault="00EE0F15">
            <w:pPr>
              <w:spacing w:after="0"/>
              <w:ind w:right="567"/>
              <w:jc w:val="both"/>
              <w:rPr>
                <w:rFonts w:ascii="Arial" w:hAnsi="Arial" w:cs="Arial"/>
              </w:rPr>
            </w:pPr>
            <w:r>
              <w:rPr>
                <w:rFonts w:ascii="Arial" w:hAnsi="Arial" w:cs="Arial"/>
              </w:rPr>
              <w:t xml:space="preserve"> Documents outstanding </w:t>
            </w:r>
          </w:p>
        </w:tc>
      </w:tr>
      <w:tr w:rsidR="00EE0F15" w:rsidTr="00EE0F15">
        <w:trPr>
          <w:trHeight w:val="70"/>
        </w:trPr>
        <w:tc>
          <w:tcPr>
            <w:tcW w:w="1842"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rsidR="00EE0F15" w:rsidRDefault="00EE0F15">
            <w:pPr>
              <w:spacing w:after="0"/>
              <w:ind w:right="567"/>
              <w:jc w:val="both"/>
              <w:rPr>
                <w:rFonts w:ascii="Arial" w:hAnsi="Arial" w:cs="Arial"/>
                <w:color w:val="000000"/>
              </w:rPr>
            </w:pPr>
            <w:r>
              <w:rPr>
                <w:rFonts w:ascii="Arial" w:hAnsi="Arial" w:cs="Arial"/>
                <w:color w:val="000000"/>
              </w:rPr>
              <w:t>Large merger</w:t>
            </w:r>
          </w:p>
        </w:tc>
        <w:tc>
          <w:tcPr>
            <w:tcW w:w="2650" w:type="dxa"/>
            <w:tcBorders>
              <w:top w:val="nil"/>
              <w:left w:val="nil"/>
              <w:bottom w:val="single" w:sz="8" w:space="0" w:color="996633"/>
              <w:right w:val="single" w:sz="8" w:space="0" w:color="996633"/>
            </w:tcBorders>
            <w:tcMar>
              <w:top w:w="0" w:type="dxa"/>
              <w:left w:w="108" w:type="dxa"/>
              <w:bottom w:w="0" w:type="dxa"/>
              <w:right w:w="108" w:type="dxa"/>
            </w:tcMar>
            <w:hideMark/>
          </w:tcPr>
          <w:p w:rsidR="00EE0F15" w:rsidRDefault="00EE0F15">
            <w:pPr>
              <w:spacing w:after="0"/>
              <w:ind w:right="567"/>
              <w:jc w:val="both"/>
              <w:rPr>
                <w:rFonts w:ascii="Arial" w:hAnsi="Arial" w:cs="Arial"/>
                <w:color w:val="000000"/>
              </w:rPr>
            </w:pPr>
            <w:r>
              <w:rPr>
                <w:rFonts w:ascii="Arial" w:hAnsi="Arial" w:cs="Arial"/>
                <w:color w:val="000000"/>
              </w:rPr>
              <w:t>Main Street 1477 (Pty) Ltd (Trading as AMROD) And Wizard Collective (Pty) Ltd</w:t>
            </w:r>
          </w:p>
        </w:tc>
        <w:tc>
          <w:tcPr>
            <w:tcW w:w="2422" w:type="dxa"/>
            <w:tcBorders>
              <w:top w:val="nil"/>
              <w:left w:val="nil"/>
              <w:bottom w:val="single" w:sz="8" w:space="0" w:color="996633"/>
              <w:right w:val="single" w:sz="8" w:space="0" w:color="996633"/>
            </w:tcBorders>
            <w:tcMar>
              <w:top w:w="0" w:type="dxa"/>
              <w:left w:w="108" w:type="dxa"/>
              <w:bottom w:w="0" w:type="dxa"/>
              <w:right w:w="108" w:type="dxa"/>
            </w:tcMar>
            <w:hideMark/>
          </w:tcPr>
          <w:p w:rsidR="00EE0F15" w:rsidRDefault="00EE0F15">
            <w:pPr>
              <w:spacing w:after="0"/>
              <w:ind w:right="567"/>
              <w:rPr>
                <w:rFonts w:ascii="Arial" w:hAnsi="Arial" w:cs="Arial"/>
              </w:rPr>
            </w:pPr>
            <w:r>
              <w:rPr>
                <w:rFonts w:ascii="Arial" w:hAnsi="Arial" w:cs="Arial"/>
              </w:rPr>
              <w:t xml:space="preserve">Approve without conditions </w:t>
            </w:r>
          </w:p>
        </w:tc>
        <w:tc>
          <w:tcPr>
            <w:tcW w:w="2102" w:type="dxa"/>
            <w:tcBorders>
              <w:top w:val="nil"/>
              <w:left w:val="nil"/>
              <w:bottom w:val="single" w:sz="8" w:space="0" w:color="996633"/>
              <w:right w:val="single" w:sz="8" w:space="0" w:color="996633"/>
            </w:tcBorders>
          </w:tcPr>
          <w:p w:rsidR="00EE0F15" w:rsidRDefault="00EE0F15">
            <w:pPr>
              <w:spacing w:after="0"/>
              <w:ind w:right="567"/>
              <w:rPr>
                <w:rFonts w:ascii="Arial" w:hAnsi="Arial" w:cs="Arial"/>
              </w:rPr>
            </w:pPr>
            <w:r>
              <w:rPr>
                <w:rFonts w:ascii="Arial" w:hAnsi="Arial" w:cs="Arial"/>
              </w:rPr>
              <w:t xml:space="preserve"> Approved without conditions </w:t>
            </w:r>
          </w:p>
        </w:tc>
      </w:tr>
      <w:tr w:rsidR="00EE0F15" w:rsidTr="00EE0F15">
        <w:trPr>
          <w:trHeight w:val="70"/>
        </w:trPr>
        <w:tc>
          <w:tcPr>
            <w:tcW w:w="1842"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rsidR="00EE0F15" w:rsidRDefault="00EE0F15">
            <w:pPr>
              <w:spacing w:after="0"/>
              <w:ind w:right="567"/>
              <w:jc w:val="both"/>
              <w:rPr>
                <w:rFonts w:ascii="Arial" w:hAnsi="Arial" w:cs="Arial"/>
                <w:color w:val="000000"/>
              </w:rPr>
            </w:pPr>
            <w:r>
              <w:rPr>
                <w:rFonts w:ascii="Arial" w:hAnsi="Arial" w:cs="Arial"/>
                <w:color w:val="000000"/>
              </w:rPr>
              <w:t xml:space="preserve">Large merger </w:t>
            </w:r>
          </w:p>
        </w:tc>
        <w:tc>
          <w:tcPr>
            <w:tcW w:w="2650" w:type="dxa"/>
            <w:tcBorders>
              <w:top w:val="nil"/>
              <w:left w:val="nil"/>
              <w:bottom w:val="single" w:sz="8" w:space="0" w:color="996633"/>
              <w:right w:val="single" w:sz="8" w:space="0" w:color="996633"/>
            </w:tcBorders>
            <w:tcMar>
              <w:top w:w="0" w:type="dxa"/>
              <w:left w:w="108" w:type="dxa"/>
              <w:bottom w:w="0" w:type="dxa"/>
              <w:right w:w="108" w:type="dxa"/>
            </w:tcMar>
            <w:hideMark/>
          </w:tcPr>
          <w:p w:rsidR="00EE0F15" w:rsidRDefault="00EE0F15">
            <w:pPr>
              <w:spacing w:after="0"/>
              <w:ind w:right="567"/>
              <w:jc w:val="both"/>
              <w:rPr>
                <w:rFonts w:ascii="Arial" w:hAnsi="Arial" w:cs="Arial"/>
                <w:color w:val="000000"/>
              </w:rPr>
            </w:pPr>
            <w:r>
              <w:rPr>
                <w:rFonts w:ascii="Arial" w:hAnsi="Arial" w:cs="Arial"/>
                <w:color w:val="000000"/>
              </w:rPr>
              <w:t>Old Mutual Retirement Accommodation Fund (Pty) Ltd And Fair Cape Life Right Holdings (Pty) Ltd</w:t>
            </w:r>
          </w:p>
        </w:tc>
        <w:tc>
          <w:tcPr>
            <w:tcW w:w="2422" w:type="dxa"/>
            <w:tcBorders>
              <w:top w:val="nil"/>
              <w:left w:val="nil"/>
              <w:bottom w:val="single" w:sz="8" w:space="0" w:color="996633"/>
              <w:right w:val="single" w:sz="8" w:space="0" w:color="996633"/>
            </w:tcBorders>
            <w:tcMar>
              <w:top w:w="0" w:type="dxa"/>
              <w:left w:w="108" w:type="dxa"/>
              <w:bottom w:w="0" w:type="dxa"/>
              <w:right w:w="108" w:type="dxa"/>
            </w:tcMar>
            <w:hideMark/>
          </w:tcPr>
          <w:p w:rsidR="00EE0F15" w:rsidRDefault="00EE0F15">
            <w:pPr>
              <w:spacing w:after="0"/>
              <w:ind w:right="567"/>
              <w:rPr>
                <w:rFonts w:ascii="Arial" w:hAnsi="Arial" w:cs="Arial"/>
              </w:rPr>
            </w:pPr>
            <w:r>
              <w:rPr>
                <w:rFonts w:ascii="Arial" w:hAnsi="Arial" w:cs="Arial"/>
              </w:rPr>
              <w:t xml:space="preserve">Approve without conditions </w:t>
            </w:r>
          </w:p>
        </w:tc>
        <w:tc>
          <w:tcPr>
            <w:tcW w:w="2102" w:type="dxa"/>
            <w:tcBorders>
              <w:top w:val="nil"/>
              <w:left w:val="nil"/>
              <w:bottom w:val="single" w:sz="8" w:space="0" w:color="996633"/>
              <w:right w:val="single" w:sz="8" w:space="0" w:color="996633"/>
            </w:tcBorders>
          </w:tcPr>
          <w:p w:rsidR="00EE0F15" w:rsidRDefault="00EE0F15">
            <w:pPr>
              <w:spacing w:after="0"/>
              <w:ind w:right="567"/>
              <w:rPr>
                <w:rFonts w:ascii="Arial" w:hAnsi="Arial" w:cs="Arial"/>
              </w:rPr>
            </w:pPr>
            <w:r>
              <w:rPr>
                <w:rFonts w:ascii="Arial" w:hAnsi="Arial" w:cs="Arial"/>
              </w:rPr>
              <w:t xml:space="preserve"> Approved without conditions </w:t>
            </w:r>
          </w:p>
        </w:tc>
      </w:tr>
    </w:tbl>
    <w:p w:rsidR="00B74F01" w:rsidRDefault="00B74F01" w:rsidP="00F36F27">
      <w:pPr>
        <w:spacing w:line="276" w:lineRule="auto"/>
        <w:ind w:left="454" w:right="454"/>
        <w:rPr>
          <w:rFonts w:ascii="Arial" w:hAnsi="Arial" w:cs="Arial"/>
          <w:b/>
          <w:bCs/>
          <w:color w:val="000000"/>
        </w:rPr>
      </w:pPr>
    </w:p>
    <w:p w:rsidR="00B74F01" w:rsidRDefault="00B74F01" w:rsidP="00F36F27">
      <w:pPr>
        <w:spacing w:line="276" w:lineRule="auto"/>
        <w:ind w:left="454" w:right="454"/>
        <w:rPr>
          <w:rFonts w:ascii="Arial" w:hAnsi="Arial" w:cs="Arial"/>
          <w:b/>
          <w:bCs/>
          <w:color w:val="000000"/>
        </w:rPr>
      </w:pPr>
      <w:r>
        <w:rPr>
          <w:rFonts w:ascii="Arial" w:hAnsi="Arial" w:cs="Arial"/>
          <w:b/>
          <w:bCs/>
          <w:color w:val="000000"/>
        </w:rPr>
        <w:t xml:space="preserve">TRIBUNAL </w:t>
      </w:r>
      <w:r w:rsidR="00EE0F15">
        <w:rPr>
          <w:rFonts w:ascii="Arial" w:hAnsi="Arial" w:cs="Arial"/>
          <w:b/>
          <w:bCs/>
          <w:color w:val="000000"/>
        </w:rPr>
        <w:t xml:space="preserve">CONFIRMS </w:t>
      </w:r>
      <w:r>
        <w:rPr>
          <w:rFonts w:ascii="Arial" w:hAnsi="Arial" w:cs="Arial"/>
          <w:b/>
          <w:bCs/>
          <w:color w:val="000000"/>
        </w:rPr>
        <w:t xml:space="preserve">R150M SETTLEMENT FOR AIRBAG, SEATBELT &amp; STEERING WHEEL MAKER </w:t>
      </w:r>
      <w:r w:rsidR="00EE0F15">
        <w:rPr>
          <w:rFonts w:ascii="Arial" w:hAnsi="Arial" w:cs="Arial"/>
          <w:b/>
          <w:bCs/>
          <w:color w:val="000000"/>
        </w:rPr>
        <w:t xml:space="preserve">AUTOLIV </w:t>
      </w:r>
    </w:p>
    <w:p w:rsidR="00682CCB" w:rsidRDefault="00B74F01" w:rsidP="00F36F27">
      <w:pPr>
        <w:spacing w:line="276" w:lineRule="auto"/>
        <w:ind w:left="454" w:right="454"/>
        <w:jc w:val="both"/>
        <w:rPr>
          <w:rFonts w:ascii="Arial" w:hAnsi="Arial" w:cs="Arial"/>
          <w:lang w:val="en-US"/>
        </w:rPr>
      </w:pPr>
      <w:r>
        <w:rPr>
          <w:rFonts w:ascii="Arial" w:hAnsi="Arial" w:cs="Arial"/>
          <w:lang w:val="en-GB"/>
        </w:rPr>
        <w:t xml:space="preserve">A settlement agreement involving Autoliv, one of the world’s largest manufacturers of </w:t>
      </w:r>
      <w:r>
        <w:rPr>
          <w:rFonts w:ascii="Arial" w:hAnsi="Arial" w:cs="Arial"/>
          <w:lang w:val="en-US"/>
        </w:rPr>
        <w:t xml:space="preserve">airbags, seatbelts and steering wheels, </w:t>
      </w:r>
      <w:r w:rsidR="00682CCB">
        <w:rPr>
          <w:rFonts w:ascii="Arial" w:hAnsi="Arial" w:cs="Arial"/>
          <w:lang w:val="en-US"/>
        </w:rPr>
        <w:t xml:space="preserve">has been approved by the Tribunal whereby Autoliv will pay an administrative penalty of </w:t>
      </w:r>
      <w:r w:rsidR="00682CCB">
        <w:rPr>
          <w:rFonts w:ascii="Arial" w:hAnsi="Arial" w:cs="Arial"/>
          <w:lang w:val="en-US"/>
        </w:rPr>
        <w:t xml:space="preserve">R149 960 540 (one hundred and forty nine million nine hundred and sixty thousand, and five hundred and forty rand). </w:t>
      </w:r>
    </w:p>
    <w:p w:rsidR="00B74F01" w:rsidRDefault="00B74F01" w:rsidP="00F36F27">
      <w:pPr>
        <w:spacing w:line="276" w:lineRule="auto"/>
        <w:ind w:left="454" w:right="454"/>
        <w:jc w:val="both"/>
        <w:rPr>
          <w:rFonts w:ascii="Arial" w:hAnsi="Arial" w:cs="Arial"/>
          <w:lang w:val="en-US"/>
        </w:rPr>
      </w:pPr>
      <w:r>
        <w:rPr>
          <w:rFonts w:ascii="Arial" w:hAnsi="Arial" w:cs="Arial"/>
          <w:lang w:val="en-US"/>
        </w:rPr>
        <w:t xml:space="preserve">Autoliv </w:t>
      </w:r>
      <w:r w:rsidR="003D22FD">
        <w:rPr>
          <w:rFonts w:ascii="Arial" w:hAnsi="Arial" w:cs="Arial"/>
          <w:lang w:val="en-US"/>
        </w:rPr>
        <w:t xml:space="preserve">also received a </w:t>
      </w:r>
      <w:r w:rsidR="00682CCB">
        <w:rPr>
          <w:rFonts w:ascii="Arial" w:hAnsi="Arial" w:cs="Arial"/>
          <w:lang w:val="en-US"/>
        </w:rPr>
        <w:t xml:space="preserve">€8.1 million </w:t>
      </w:r>
      <w:r w:rsidR="003D22FD">
        <w:rPr>
          <w:rFonts w:ascii="Arial" w:hAnsi="Arial" w:cs="Arial"/>
          <w:lang w:val="en-US"/>
        </w:rPr>
        <w:t xml:space="preserve">administrative penalty </w:t>
      </w:r>
      <w:r w:rsidR="00682CCB">
        <w:rPr>
          <w:rFonts w:ascii="Arial" w:hAnsi="Arial" w:cs="Arial"/>
          <w:lang w:val="en-US"/>
        </w:rPr>
        <w:t xml:space="preserve">today (Wednesday, November 22) </w:t>
      </w:r>
      <w:r w:rsidR="003D22FD">
        <w:rPr>
          <w:rFonts w:ascii="Arial" w:hAnsi="Arial" w:cs="Arial"/>
          <w:lang w:val="en-US"/>
        </w:rPr>
        <w:t xml:space="preserve">imposed by the </w:t>
      </w:r>
      <w:r w:rsidR="00682CCB">
        <w:rPr>
          <w:rFonts w:ascii="Arial" w:hAnsi="Arial" w:cs="Arial"/>
          <w:lang w:val="en-US"/>
        </w:rPr>
        <w:t xml:space="preserve">European Commission. </w:t>
      </w:r>
      <w:r w:rsidR="003D22FD">
        <w:rPr>
          <w:rFonts w:ascii="Arial" w:hAnsi="Arial" w:cs="Arial"/>
          <w:lang w:val="en-US"/>
        </w:rPr>
        <w:t>Autoliv</w:t>
      </w:r>
      <w:r w:rsidR="00682CCB">
        <w:rPr>
          <w:rFonts w:ascii="Arial" w:hAnsi="Arial" w:cs="Arial"/>
          <w:lang w:val="en-US"/>
        </w:rPr>
        <w:t xml:space="preserve"> reached a </w:t>
      </w:r>
      <w:r>
        <w:rPr>
          <w:rFonts w:ascii="Arial" w:hAnsi="Arial" w:cs="Arial"/>
          <w:lang w:val="en-US"/>
        </w:rPr>
        <w:t xml:space="preserve">US$81 million settlement agreement in 2015 in the US and </w:t>
      </w:r>
      <w:r w:rsidR="00682CCB">
        <w:rPr>
          <w:rFonts w:ascii="Arial" w:hAnsi="Arial" w:cs="Arial"/>
          <w:lang w:val="en-US"/>
        </w:rPr>
        <w:t xml:space="preserve">reached </w:t>
      </w:r>
      <w:r>
        <w:rPr>
          <w:rFonts w:ascii="Arial" w:hAnsi="Arial" w:cs="Arial"/>
          <w:lang w:val="en-US"/>
        </w:rPr>
        <w:t>a settlement wit</w:t>
      </w:r>
      <w:r w:rsidR="00682CCB">
        <w:rPr>
          <w:rFonts w:ascii="Arial" w:hAnsi="Arial" w:cs="Arial"/>
          <w:lang w:val="en-US"/>
        </w:rPr>
        <w:t>h Canadian authorities for US$3.</w:t>
      </w:r>
      <w:r>
        <w:rPr>
          <w:rFonts w:ascii="Arial" w:hAnsi="Arial" w:cs="Arial"/>
          <w:lang w:val="en-US"/>
        </w:rPr>
        <w:t>2</w:t>
      </w:r>
      <w:r w:rsidR="00682CCB">
        <w:rPr>
          <w:rFonts w:ascii="Arial" w:hAnsi="Arial" w:cs="Arial"/>
          <w:lang w:val="en-US"/>
        </w:rPr>
        <w:t xml:space="preserve"> </w:t>
      </w:r>
      <w:r>
        <w:rPr>
          <w:rFonts w:ascii="Arial" w:hAnsi="Arial" w:cs="Arial"/>
          <w:lang w:val="en-US"/>
        </w:rPr>
        <w:t>m</w:t>
      </w:r>
      <w:r w:rsidR="00682CCB">
        <w:rPr>
          <w:rFonts w:ascii="Arial" w:hAnsi="Arial" w:cs="Arial"/>
          <w:lang w:val="en-US"/>
        </w:rPr>
        <w:t>illion</w:t>
      </w:r>
      <w:r>
        <w:rPr>
          <w:rFonts w:ascii="Arial" w:hAnsi="Arial" w:cs="Arial"/>
          <w:lang w:val="en-US"/>
        </w:rPr>
        <w:t xml:space="preserve">. The settlement in the US was as a result of a probe into price fixing of more than 30 types of car parts and in Canada it was for participation to fix prices of automotive parts sold in Canada. </w:t>
      </w:r>
      <w:r w:rsidR="00682CCB">
        <w:rPr>
          <w:rFonts w:ascii="Arial" w:hAnsi="Arial" w:cs="Arial"/>
          <w:lang w:val="en-US"/>
        </w:rPr>
        <w:t>It is not clear what administrative penalty was imposed by competition authorities in Brazil, but Autoliv confirms that a settlement agreement has been reached</w:t>
      </w:r>
      <w:r w:rsidR="003D22FD">
        <w:rPr>
          <w:rFonts w:ascii="Arial" w:hAnsi="Arial" w:cs="Arial"/>
          <w:lang w:val="en-US"/>
        </w:rPr>
        <w:t xml:space="preserve"> in the Tribunal hearing</w:t>
      </w:r>
      <w:r w:rsidR="00682CCB">
        <w:rPr>
          <w:rFonts w:ascii="Arial" w:hAnsi="Arial" w:cs="Arial"/>
          <w:lang w:val="en-US"/>
        </w:rPr>
        <w:t xml:space="preserve">. </w:t>
      </w:r>
    </w:p>
    <w:p w:rsidR="00682CCB" w:rsidRDefault="003D22FD" w:rsidP="00F36F27">
      <w:pPr>
        <w:spacing w:line="276" w:lineRule="auto"/>
        <w:ind w:left="454" w:right="454"/>
        <w:jc w:val="both"/>
        <w:rPr>
          <w:rFonts w:ascii="Arial" w:hAnsi="Arial" w:cs="Arial"/>
          <w:lang w:val="en-US"/>
        </w:rPr>
      </w:pPr>
      <w:r>
        <w:rPr>
          <w:rFonts w:ascii="Arial" w:hAnsi="Arial" w:cs="Arial"/>
          <w:lang w:val="en-US"/>
        </w:rPr>
        <w:t xml:space="preserve">In the Tribunal hearing today Autoliv </w:t>
      </w:r>
      <w:r w:rsidR="00B74F01">
        <w:rPr>
          <w:rFonts w:ascii="Arial" w:hAnsi="Arial" w:cs="Arial"/>
          <w:lang w:val="en-US"/>
        </w:rPr>
        <w:t xml:space="preserve">admitted it engaged in prohibited practices involving price fixing, market division and collusive tendering with competitors TRW Automotive Inc, Takata Group, Toyoda Gosei Co and Tokai Rika Co and agreed to pay an administrative penalty of </w:t>
      </w:r>
      <w:r w:rsidR="00682CCB">
        <w:rPr>
          <w:rFonts w:ascii="Arial" w:hAnsi="Arial" w:cs="Arial"/>
          <w:lang w:val="en-US"/>
        </w:rPr>
        <w:t xml:space="preserve">almost R150 million. </w:t>
      </w:r>
    </w:p>
    <w:p w:rsidR="00B74F01" w:rsidRDefault="00B74F01" w:rsidP="00F36F27">
      <w:pPr>
        <w:spacing w:line="276" w:lineRule="auto"/>
        <w:ind w:left="454" w:right="454"/>
        <w:jc w:val="both"/>
        <w:rPr>
          <w:rFonts w:ascii="Arial" w:hAnsi="Arial" w:cs="Arial"/>
          <w:lang w:val="en-US"/>
        </w:rPr>
      </w:pPr>
      <w:r>
        <w:rPr>
          <w:rFonts w:ascii="Arial" w:hAnsi="Arial" w:cs="Arial"/>
          <w:lang w:val="en-US"/>
        </w:rPr>
        <w:t>On 3 August 2012 the Commission initiated a complaint into the alleged collusive conduct against manufacturers of airbags, seatbelts and steering wheels (including Autoliv and its competitors) for allegedly fixing prices, dividing markets and colluding on tenders/and or the exchange of competitively sensitive information regarding the manufacture and supply of certain Occupation Safety Systems to Original Equipment Manufacturers against TRW Automotive Inc, Takata Group and Autoliv. On November 2016, the Commission amended the original complaint to include Toyoda Gosei Co and Tokai Rika Co</w:t>
      </w:r>
      <w:r>
        <w:rPr>
          <w:rFonts w:ascii="Arial" w:hAnsi="Arial" w:cs="Arial"/>
          <w:color w:val="1F497D"/>
          <w:lang w:val="en-US"/>
        </w:rPr>
        <w:t>.</w:t>
      </w:r>
    </w:p>
    <w:p w:rsidR="00B74F01" w:rsidRDefault="00B74F01" w:rsidP="00F36F27">
      <w:pPr>
        <w:spacing w:line="276" w:lineRule="auto"/>
        <w:ind w:left="454" w:right="454"/>
        <w:jc w:val="both"/>
        <w:rPr>
          <w:rFonts w:ascii="Arial" w:hAnsi="Arial" w:cs="Arial"/>
          <w:lang w:val="en-US"/>
        </w:rPr>
      </w:pPr>
      <w:r>
        <w:rPr>
          <w:rFonts w:ascii="Arial" w:hAnsi="Arial" w:cs="Arial"/>
          <w:lang w:val="en-US"/>
        </w:rPr>
        <w:t xml:space="preserve">The conduct affected tenders issued by car manufacturers such as BMW Group and VW Group for the manufacture and supply of airbags, seatbelts and steering wheels and affected the following make of vehicles: VW Polo, MQB platform (VW Golf), Audi A1, A3, A6, A7, A8, Q3, VW 120Up, VW Eos convertible, Passat, Porsche Cajun/Macan, F15/F16 platform (BMW X5/X6), PL6 platform (5,6 and 7 series) and M Sport. </w:t>
      </w:r>
    </w:p>
    <w:p w:rsidR="003D22FD" w:rsidRDefault="003D22FD" w:rsidP="00F36F27">
      <w:pPr>
        <w:spacing w:line="276" w:lineRule="auto"/>
        <w:ind w:left="454" w:right="454"/>
        <w:jc w:val="both"/>
        <w:rPr>
          <w:rFonts w:ascii="Arial" w:hAnsi="Arial" w:cs="Arial"/>
          <w:lang w:val="en-US"/>
        </w:rPr>
      </w:pPr>
      <w:r>
        <w:rPr>
          <w:rFonts w:ascii="Arial" w:hAnsi="Arial" w:cs="Arial"/>
          <w:lang w:val="en-US"/>
        </w:rPr>
        <w:t xml:space="preserve">Although the cartel activity occurred in relation to global tenders the South African consumer was affected, the Commission says in its complaint. </w:t>
      </w:r>
    </w:p>
    <w:p w:rsidR="00682CCB" w:rsidRDefault="00682CCB" w:rsidP="00F36F27">
      <w:pPr>
        <w:spacing w:line="276" w:lineRule="auto"/>
        <w:ind w:left="454" w:right="454"/>
        <w:jc w:val="both"/>
        <w:rPr>
          <w:rFonts w:ascii="Arial" w:hAnsi="Arial" w:cs="Arial"/>
          <w:lang w:val="en-US"/>
        </w:rPr>
      </w:pPr>
      <w:r>
        <w:rPr>
          <w:rFonts w:ascii="Arial" w:hAnsi="Arial" w:cs="Arial"/>
          <w:lang w:val="en-US"/>
        </w:rPr>
        <w:t xml:space="preserve">The leniency applicant in this matter is TRW Automotive Inc. </w:t>
      </w:r>
    </w:p>
    <w:p w:rsidR="00682CCB" w:rsidRDefault="00682CCB" w:rsidP="00F36F27">
      <w:pPr>
        <w:spacing w:after="0" w:line="276" w:lineRule="auto"/>
        <w:ind w:left="454" w:right="454"/>
        <w:jc w:val="both"/>
        <w:rPr>
          <w:rFonts w:ascii="Arial" w:hAnsi="Arial" w:cs="Arial"/>
          <w:b/>
          <w:bCs/>
          <w:lang w:val="en-US"/>
        </w:rPr>
      </w:pPr>
    </w:p>
    <w:p w:rsidR="00682CCB" w:rsidRDefault="00682CCB" w:rsidP="00F36F27">
      <w:pPr>
        <w:spacing w:after="0" w:line="276" w:lineRule="auto"/>
        <w:ind w:left="454" w:right="454"/>
        <w:jc w:val="both"/>
        <w:rPr>
          <w:rFonts w:ascii="Arial" w:hAnsi="Arial" w:cs="Arial"/>
          <w:b/>
          <w:bCs/>
          <w:lang w:val="en-US"/>
        </w:rPr>
      </w:pPr>
      <w:r>
        <w:rPr>
          <w:rFonts w:ascii="Arial" w:hAnsi="Arial" w:cs="Arial"/>
          <w:b/>
          <w:bCs/>
          <w:lang w:val="en-US"/>
        </w:rPr>
        <w:t xml:space="preserve">MERGER INVOLVING ACQUIRING FIRM DENEB </w:t>
      </w:r>
      <w:r w:rsidR="003D22FD">
        <w:rPr>
          <w:rFonts w:ascii="Arial" w:hAnsi="Arial" w:cs="Arial"/>
          <w:b/>
          <w:bCs/>
          <w:lang w:val="en-US"/>
        </w:rPr>
        <w:t xml:space="preserve">AND JUST FUN </w:t>
      </w:r>
      <w:r>
        <w:rPr>
          <w:rFonts w:ascii="Arial" w:hAnsi="Arial" w:cs="Arial"/>
          <w:b/>
          <w:bCs/>
          <w:lang w:val="en-US"/>
        </w:rPr>
        <w:t xml:space="preserve">STILL TO BE DECIDED </w:t>
      </w:r>
    </w:p>
    <w:p w:rsidR="00B74F01" w:rsidRDefault="00B74F01" w:rsidP="00F36F27">
      <w:pPr>
        <w:spacing w:after="0" w:line="276" w:lineRule="auto"/>
        <w:ind w:left="454" w:right="454"/>
        <w:jc w:val="both"/>
        <w:rPr>
          <w:rFonts w:ascii="Arial" w:hAnsi="Arial" w:cs="Arial"/>
          <w:lang w:val="en-US"/>
        </w:rPr>
      </w:pPr>
    </w:p>
    <w:p w:rsidR="00B74F01" w:rsidRDefault="00682CCB" w:rsidP="00F36F27">
      <w:pPr>
        <w:spacing w:after="0" w:line="276" w:lineRule="auto"/>
        <w:ind w:left="454" w:right="454"/>
        <w:jc w:val="both"/>
        <w:rPr>
          <w:rFonts w:ascii="Arial" w:hAnsi="Arial" w:cs="Arial"/>
          <w:lang w:val="en-US"/>
        </w:rPr>
      </w:pPr>
      <w:r>
        <w:rPr>
          <w:rFonts w:ascii="Arial" w:hAnsi="Arial" w:cs="Arial"/>
          <w:lang w:val="en-US"/>
        </w:rPr>
        <w:t xml:space="preserve">The Tribunal is awaiting outstanding documents in the proposed merger between </w:t>
      </w:r>
      <w:r w:rsidR="00B74F01">
        <w:rPr>
          <w:rFonts w:ascii="Arial" w:hAnsi="Arial" w:cs="Arial"/>
          <w:lang w:val="en-US"/>
        </w:rPr>
        <w:t>acquiring firm JSE</w:t>
      </w:r>
      <w:r w:rsidR="00B74F01">
        <w:rPr>
          <w:rFonts w:ascii="Arial" w:hAnsi="Arial" w:cs="Arial"/>
          <w:color w:val="1F497D"/>
          <w:lang w:val="en-US"/>
        </w:rPr>
        <w:t>-L</w:t>
      </w:r>
      <w:r w:rsidR="00B74F01">
        <w:rPr>
          <w:rFonts w:ascii="Arial" w:hAnsi="Arial" w:cs="Arial"/>
          <w:lang w:val="en-US"/>
        </w:rPr>
        <w:t xml:space="preserve">isted Deneb Investments Limited </w:t>
      </w:r>
      <w:r w:rsidR="003D22FD">
        <w:rPr>
          <w:rFonts w:ascii="Arial" w:hAnsi="Arial" w:cs="Arial"/>
          <w:lang w:val="en-US"/>
        </w:rPr>
        <w:t xml:space="preserve">and target company </w:t>
      </w:r>
      <w:r w:rsidR="00B74F01">
        <w:rPr>
          <w:rFonts w:ascii="Arial" w:hAnsi="Arial" w:cs="Arial"/>
          <w:lang w:val="en-US"/>
        </w:rPr>
        <w:t xml:space="preserve">New Just Fun Group Proprietary Limited, a toy supply and distribution business. </w:t>
      </w:r>
    </w:p>
    <w:p w:rsidR="00B74F01" w:rsidRDefault="00B74F01" w:rsidP="00F36F27">
      <w:pPr>
        <w:spacing w:after="0" w:line="276" w:lineRule="auto"/>
        <w:ind w:left="454" w:right="454"/>
        <w:jc w:val="both"/>
        <w:rPr>
          <w:rFonts w:ascii="Arial" w:hAnsi="Arial" w:cs="Arial"/>
          <w:lang w:val="en-US"/>
        </w:rPr>
      </w:pPr>
    </w:p>
    <w:p w:rsidR="00B74F01" w:rsidRDefault="00B74F01" w:rsidP="00F36F27">
      <w:pPr>
        <w:spacing w:after="0" w:line="276" w:lineRule="auto"/>
        <w:ind w:left="454" w:right="454"/>
        <w:jc w:val="both"/>
        <w:rPr>
          <w:rFonts w:ascii="Arial" w:hAnsi="Arial" w:cs="Arial"/>
          <w:lang w:val="en-US"/>
        </w:rPr>
      </w:pPr>
      <w:r>
        <w:rPr>
          <w:rFonts w:ascii="Arial" w:hAnsi="Arial" w:cs="Arial"/>
          <w:lang w:val="en-US"/>
        </w:rPr>
        <w:t>Deneb is controlled by Hosken Consolidated Limited Group</w:t>
      </w:r>
      <w:r w:rsidR="003D22FD">
        <w:rPr>
          <w:rFonts w:ascii="Arial" w:hAnsi="Arial" w:cs="Arial"/>
          <w:lang w:val="en-US"/>
        </w:rPr>
        <w:t xml:space="preserve"> (HCI</w:t>
      </w:r>
      <w:r w:rsidR="00A738AD">
        <w:rPr>
          <w:rFonts w:ascii="Arial" w:hAnsi="Arial" w:cs="Arial"/>
          <w:lang w:val="en-US"/>
        </w:rPr>
        <w:t>) while</w:t>
      </w:r>
      <w:r>
        <w:rPr>
          <w:rFonts w:ascii="Arial" w:hAnsi="Arial" w:cs="Arial"/>
          <w:lang w:val="en-US"/>
        </w:rPr>
        <w:t xml:space="preserve"> primary target firm New Just Fun Group is the wholly-owned subsidiary of Main Street Holdings (Pty) Ltd. </w:t>
      </w:r>
    </w:p>
    <w:p w:rsidR="00B74F01" w:rsidRDefault="00B74F01" w:rsidP="00F36F27">
      <w:pPr>
        <w:spacing w:after="0" w:line="276" w:lineRule="auto"/>
        <w:ind w:left="454" w:right="454"/>
        <w:jc w:val="both"/>
        <w:rPr>
          <w:rFonts w:ascii="Arial" w:hAnsi="Arial" w:cs="Arial"/>
          <w:lang w:val="en-US"/>
        </w:rPr>
      </w:pPr>
    </w:p>
    <w:p w:rsidR="00B74F01" w:rsidRDefault="00B74F01" w:rsidP="00F36F27">
      <w:pPr>
        <w:spacing w:after="0" w:line="276" w:lineRule="auto"/>
        <w:ind w:left="454" w:right="454"/>
        <w:jc w:val="both"/>
        <w:rPr>
          <w:rFonts w:ascii="Arial" w:hAnsi="Arial" w:cs="Arial"/>
          <w:lang w:val="en-US"/>
        </w:rPr>
      </w:pPr>
      <w:r>
        <w:rPr>
          <w:rFonts w:ascii="Arial" w:hAnsi="Arial" w:cs="Arial"/>
          <w:lang w:val="en-US"/>
        </w:rPr>
        <w:t xml:space="preserve">HTIC, a company incorporated in Hong Kong, and Prima Toys are subsidiaries of the acquiring firm. Target firm Just Fun is an importer and distributor of traditional toys in SA and has distribution rights for some branded toys. </w:t>
      </w:r>
    </w:p>
    <w:p w:rsidR="00B74F01" w:rsidRDefault="00B74F01" w:rsidP="00F36F27">
      <w:pPr>
        <w:spacing w:after="0" w:line="276" w:lineRule="auto"/>
        <w:ind w:left="454" w:right="454"/>
        <w:jc w:val="both"/>
        <w:rPr>
          <w:rFonts w:ascii="Arial" w:hAnsi="Arial" w:cs="Arial"/>
          <w:lang w:val="en-US"/>
        </w:rPr>
      </w:pPr>
    </w:p>
    <w:p w:rsidR="00B74F01" w:rsidRDefault="003D22FD" w:rsidP="00F36F27">
      <w:pPr>
        <w:spacing w:after="0" w:line="276" w:lineRule="auto"/>
        <w:ind w:left="454" w:right="454"/>
        <w:jc w:val="both"/>
        <w:rPr>
          <w:rFonts w:ascii="Arial" w:hAnsi="Arial" w:cs="Arial"/>
          <w:lang w:val="en-US"/>
        </w:rPr>
      </w:pPr>
      <w:r>
        <w:rPr>
          <w:rFonts w:ascii="Arial" w:hAnsi="Arial" w:cs="Arial"/>
          <w:lang w:val="en-US"/>
        </w:rPr>
        <w:t xml:space="preserve">The Commission </w:t>
      </w:r>
      <w:r w:rsidR="00F36F27">
        <w:rPr>
          <w:rFonts w:ascii="Arial" w:hAnsi="Arial" w:cs="Arial"/>
          <w:lang w:val="en-US"/>
        </w:rPr>
        <w:t xml:space="preserve">has </w:t>
      </w:r>
      <w:r>
        <w:rPr>
          <w:rFonts w:ascii="Arial" w:hAnsi="Arial" w:cs="Arial"/>
          <w:lang w:val="en-US"/>
        </w:rPr>
        <w:t xml:space="preserve">recommended that the merger be approved with conditions. </w:t>
      </w:r>
    </w:p>
    <w:p w:rsidR="003D22FD" w:rsidRDefault="003D22FD" w:rsidP="00F36F27">
      <w:pPr>
        <w:spacing w:after="0" w:line="276" w:lineRule="auto"/>
        <w:ind w:left="454" w:right="454"/>
        <w:jc w:val="both"/>
        <w:rPr>
          <w:rFonts w:ascii="Arial" w:hAnsi="Arial" w:cs="Arial"/>
          <w:lang w:val="en-US"/>
        </w:rPr>
      </w:pPr>
    </w:p>
    <w:p w:rsidR="00B74F01" w:rsidRDefault="00B74F01" w:rsidP="00F36F27">
      <w:pPr>
        <w:spacing w:after="0" w:line="276" w:lineRule="auto"/>
        <w:ind w:left="454" w:right="454"/>
        <w:jc w:val="both"/>
        <w:rPr>
          <w:rFonts w:ascii="Arial" w:hAnsi="Arial" w:cs="Arial"/>
          <w:b/>
          <w:bCs/>
          <w:lang w:val="en-US"/>
        </w:rPr>
      </w:pPr>
      <w:r>
        <w:rPr>
          <w:rFonts w:ascii="Arial" w:hAnsi="Arial" w:cs="Arial"/>
          <w:b/>
          <w:bCs/>
          <w:lang w:val="en-US"/>
        </w:rPr>
        <w:t>TWO WHOLESALERS OF BRANDED PROMOTIONAL PRODUCTS TO MERGE</w:t>
      </w:r>
    </w:p>
    <w:p w:rsidR="00B74F01" w:rsidRDefault="00B74F01" w:rsidP="00F36F27">
      <w:pPr>
        <w:spacing w:after="0" w:line="276" w:lineRule="auto"/>
        <w:ind w:left="454" w:right="454"/>
        <w:jc w:val="both"/>
        <w:rPr>
          <w:rFonts w:ascii="Arial" w:hAnsi="Arial" w:cs="Arial"/>
          <w:lang w:val="en-US"/>
        </w:rPr>
      </w:pPr>
    </w:p>
    <w:p w:rsidR="00B74F01" w:rsidRDefault="00B74F01" w:rsidP="00F36F27">
      <w:pPr>
        <w:spacing w:after="0" w:line="276" w:lineRule="auto"/>
        <w:ind w:left="454" w:right="454"/>
        <w:jc w:val="both"/>
        <w:rPr>
          <w:rFonts w:ascii="Arial" w:hAnsi="Arial" w:cs="Arial"/>
          <w:lang w:val="en-US"/>
        </w:rPr>
      </w:pPr>
      <w:r>
        <w:rPr>
          <w:rFonts w:ascii="Arial" w:hAnsi="Arial" w:cs="Arial"/>
          <w:lang w:val="en-US"/>
        </w:rPr>
        <w:t>Main Street 1477, trading as Amrod, a private firm ultimately controlled by Carlyle Group</w:t>
      </w:r>
      <w:r>
        <w:rPr>
          <w:rFonts w:ascii="Arial" w:hAnsi="Arial" w:cs="Arial"/>
          <w:color w:val="1F497D"/>
          <w:lang w:val="en-US"/>
        </w:rPr>
        <w:t>,</w:t>
      </w:r>
      <w:r>
        <w:rPr>
          <w:rFonts w:ascii="Arial" w:hAnsi="Arial" w:cs="Arial"/>
          <w:lang w:val="en-US"/>
        </w:rPr>
        <w:t xml:space="preserve"> </w:t>
      </w:r>
      <w:r w:rsidR="003D22FD">
        <w:rPr>
          <w:rFonts w:ascii="Arial" w:hAnsi="Arial" w:cs="Arial"/>
          <w:lang w:val="en-US"/>
        </w:rPr>
        <w:t xml:space="preserve">is to </w:t>
      </w:r>
      <w:r>
        <w:rPr>
          <w:rFonts w:ascii="Arial" w:hAnsi="Arial" w:cs="Arial"/>
          <w:lang w:val="en-US"/>
        </w:rPr>
        <w:t>acquire Wizard Collective</w:t>
      </w:r>
      <w:r w:rsidR="003D22FD">
        <w:rPr>
          <w:rFonts w:ascii="Arial" w:hAnsi="Arial" w:cs="Arial"/>
          <w:lang w:val="en-US"/>
        </w:rPr>
        <w:t xml:space="preserve"> after the merger was unconditionally approved by the Tribunal</w:t>
      </w:r>
      <w:r>
        <w:rPr>
          <w:rFonts w:ascii="Arial" w:hAnsi="Arial" w:cs="Arial"/>
          <w:lang w:val="en-US"/>
        </w:rPr>
        <w:t xml:space="preserve">. </w:t>
      </w:r>
    </w:p>
    <w:p w:rsidR="00B74F01" w:rsidRDefault="00B74F01" w:rsidP="00F36F27">
      <w:pPr>
        <w:spacing w:after="0" w:line="276" w:lineRule="auto"/>
        <w:ind w:left="454" w:right="454"/>
        <w:jc w:val="both"/>
        <w:rPr>
          <w:rFonts w:ascii="Arial" w:hAnsi="Arial" w:cs="Arial"/>
          <w:lang w:val="en-US"/>
        </w:rPr>
      </w:pPr>
    </w:p>
    <w:p w:rsidR="00B74F01" w:rsidRDefault="00B74F01" w:rsidP="00F36F27">
      <w:pPr>
        <w:spacing w:after="0" w:line="276" w:lineRule="auto"/>
        <w:ind w:left="454" w:right="454"/>
        <w:jc w:val="both"/>
        <w:rPr>
          <w:rFonts w:ascii="Arial" w:hAnsi="Arial" w:cs="Arial"/>
          <w:lang w:val="en-US"/>
        </w:rPr>
      </w:pPr>
      <w:r>
        <w:rPr>
          <w:rFonts w:ascii="Arial" w:hAnsi="Arial" w:cs="Arial"/>
          <w:lang w:val="en-US"/>
        </w:rPr>
        <w:t xml:space="preserve">Both companies are active in the wholesale of various branded and promotional products such as apparel and gifts to distributors and re-sellers who on-sell these products to customers. Both companies distribute both imported and locally produced products. </w:t>
      </w:r>
    </w:p>
    <w:p w:rsidR="00B74F01" w:rsidRDefault="00B74F01" w:rsidP="00F36F27">
      <w:pPr>
        <w:spacing w:after="0" w:line="276" w:lineRule="auto"/>
        <w:ind w:left="454" w:right="454"/>
        <w:jc w:val="both"/>
        <w:rPr>
          <w:rFonts w:ascii="Arial" w:hAnsi="Arial" w:cs="Arial"/>
          <w:lang w:val="en-US"/>
        </w:rPr>
      </w:pPr>
      <w:r>
        <w:rPr>
          <w:rFonts w:ascii="Arial" w:hAnsi="Arial" w:cs="Arial"/>
          <w:lang w:val="en-US"/>
        </w:rPr>
        <w:t> </w:t>
      </w:r>
    </w:p>
    <w:p w:rsidR="00B74F01" w:rsidRDefault="003D22FD" w:rsidP="00F36F27">
      <w:pPr>
        <w:spacing w:after="0" w:line="276" w:lineRule="auto"/>
        <w:ind w:left="454" w:right="454"/>
        <w:jc w:val="both"/>
        <w:rPr>
          <w:rFonts w:ascii="Arial" w:hAnsi="Arial" w:cs="Arial"/>
          <w:lang w:val="en-US"/>
        </w:rPr>
      </w:pPr>
      <w:r>
        <w:rPr>
          <w:rFonts w:ascii="Arial" w:hAnsi="Arial" w:cs="Arial"/>
          <w:b/>
          <w:bCs/>
          <w:lang w:val="en-US"/>
        </w:rPr>
        <w:t xml:space="preserve">INVESTMENT FUND’S MERGER WITH </w:t>
      </w:r>
      <w:r w:rsidR="00B74F01">
        <w:rPr>
          <w:rFonts w:ascii="Arial" w:hAnsi="Arial" w:cs="Arial"/>
          <w:b/>
          <w:bCs/>
          <w:lang w:val="en-US"/>
        </w:rPr>
        <w:t>RETIREMENT ACCOMODATION INVESTMENT FIRM</w:t>
      </w:r>
      <w:r>
        <w:rPr>
          <w:rFonts w:ascii="Arial" w:hAnsi="Arial" w:cs="Arial"/>
          <w:b/>
          <w:bCs/>
          <w:lang w:val="en-US"/>
        </w:rPr>
        <w:t xml:space="preserve"> APPROVED</w:t>
      </w:r>
    </w:p>
    <w:p w:rsidR="00B74F01" w:rsidRDefault="00B74F01" w:rsidP="00F36F27">
      <w:pPr>
        <w:spacing w:after="0" w:line="276" w:lineRule="auto"/>
        <w:ind w:left="454" w:right="454"/>
        <w:jc w:val="both"/>
        <w:rPr>
          <w:rFonts w:ascii="Arial" w:hAnsi="Arial" w:cs="Arial"/>
          <w:lang w:val="en-US"/>
        </w:rPr>
      </w:pPr>
    </w:p>
    <w:p w:rsidR="00B74F01" w:rsidRDefault="00B74F01" w:rsidP="00F36F27">
      <w:pPr>
        <w:spacing w:after="0" w:line="276" w:lineRule="auto"/>
        <w:ind w:left="454" w:right="454"/>
        <w:jc w:val="both"/>
        <w:rPr>
          <w:rFonts w:ascii="Arial" w:hAnsi="Arial" w:cs="Arial"/>
          <w:lang w:val="en-US"/>
        </w:rPr>
      </w:pPr>
      <w:r>
        <w:rPr>
          <w:rFonts w:ascii="Arial" w:hAnsi="Arial" w:cs="Arial"/>
          <w:lang w:val="en-US"/>
        </w:rPr>
        <w:t>Old Mutual Retirement Accommodation Fund Ltd (OM</w:t>
      </w:r>
      <w:r w:rsidR="003D22FD">
        <w:rPr>
          <w:rFonts w:ascii="Arial" w:hAnsi="Arial" w:cs="Arial"/>
          <w:lang w:val="en-US"/>
        </w:rPr>
        <w:t>RAF), ultimately controlled by O</w:t>
      </w:r>
      <w:r>
        <w:rPr>
          <w:rFonts w:ascii="Arial" w:hAnsi="Arial" w:cs="Arial"/>
          <w:lang w:val="en-US"/>
        </w:rPr>
        <w:t xml:space="preserve">ld Mutual Plc, </w:t>
      </w:r>
      <w:r w:rsidR="003D22FD">
        <w:rPr>
          <w:rFonts w:ascii="Arial" w:hAnsi="Arial" w:cs="Arial"/>
          <w:lang w:val="en-US"/>
        </w:rPr>
        <w:t xml:space="preserve">has been given approval to </w:t>
      </w:r>
      <w:r>
        <w:rPr>
          <w:rFonts w:ascii="Arial" w:hAnsi="Arial" w:cs="Arial"/>
          <w:lang w:val="en-US"/>
        </w:rPr>
        <w:t>acqui</w:t>
      </w:r>
      <w:r w:rsidR="003D22FD">
        <w:rPr>
          <w:rFonts w:ascii="Arial" w:hAnsi="Arial" w:cs="Arial"/>
          <w:lang w:val="en-US"/>
        </w:rPr>
        <w:t>re Fair Cape Life Right Holding</w:t>
      </w:r>
      <w:r>
        <w:rPr>
          <w:rFonts w:ascii="Arial" w:hAnsi="Arial" w:cs="Arial"/>
          <w:lang w:val="en-US"/>
        </w:rPr>
        <w:t xml:space="preserve"> an investor in retirement accommodation. </w:t>
      </w:r>
      <w:r w:rsidR="003D22FD">
        <w:rPr>
          <w:rFonts w:ascii="Arial" w:hAnsi="Arial" w:cs="Arial"/>
          <w:lang w:val="en-US"/>
        </w:rPr>
        <w:t xml:space="preserve">The merger has been approved without conditions. </w:t>
      </w:r>
    </w:p>
    <w:p w:rsidR="00B74F01" w:rsidRDefault="00B74F01" w:rsidP="00F36F27">
      <w:pPr>
        <w:spacing w:after="0" w:line="276" w:lineRule="auto"/>
        <w:ind w:left="454" w:right="454"/>
        <w:jc w:val="both"/>
        <w:rPr>
          <w:rFonts w:ascii="Arial" w:hAnsi="Arial" w:cs="Arial"/>
          <w:lang w:val="en-US"/>
        </w:rPr>
      </w:pPr>
    </w:p>
    <w:p w:rsidR="00B74F01" w:rsidRDefault="00B74F01" w:rsidP="00F36F27">
      <w:pPr>
        <w:spacing w:after="0" w:line="276" w:lineRule="auto"/>
        <w:ind w:left="454" w:right="454"/>
        <w:jc w:val="both"/>
        <w:rPr>
          <w:rFonts w:ascii="Arial" w:hAnsi="Arial" w:cs="Arial"/>
          <w:lang w:val="en-US"/>
        </w:rPr>
      </w:pPr>
      <w:r>
        <w:rPr>
          <w:rFonts w:ascii="Arial" w:hAnsi="Arial" w:cs="Arial"/>
          <w:lang w:val="en-US"/>
        </w:rPr>
        <w:t xml:space="preserve">OMRAF is an investment fund that focuses on retirement accommodation and the growing need to provide such accommodation by investing in new developments and funding existing retirement housing projects in South Africa. </w:t>
      </w:r>
    </w:p>
    <w:p w:rsidR="00B74F01" w:rsidRDefault="00B74F01" w:rsidP="00F36F27">
      <w:pPr>
        <w:spacing w:after="0" w:line="276" w:lineRule="auto"/>
        <w:ind w:left="454" w:right="454"/>
        <w:jc w:val="both"/>
        <w:rPr>
          <w:rFonts w:ascii="Arial" w:hAnsi="Arial" w:cs="Arial"/>
          <w:lang w:val="en-US"/>
        </w:rPr>
      </w:pPr>
    </w:p>
    <w:p w:rsidR="00B74F01" w:rsidRDefault="00B74F01" w:rsidP="00F36F27">
      <w:pPr>
        <w:spacing w:after="0" w:line="276" w:lineRule="auto"/>
        <w:ind w:left="454" w:right="454"/>
        <w:jc w:val="both"/>
        <w:rPr>
          <w:rFonts w:ascii="Arial" w:hAnsi="Arial" w:cs="Arial"/>
          <w:lang w:val="en-US"/>
        </w:rPr>
      </w:pPr>
      <w:r>
        <w:rPr>
          <w:rFonts w:ascii="Arial" w:hAnsi="Arial" w:cs="Arial"/>
          <w:lang w:val="en-US"/>
        </w:rPr>
        <w:t xml:space="preserve">Fair Cape Life Right Holdings owns and operates six retirement accommodation facilities in the Western Cape Province. </w:t>
      </w:r>
    </w:p>
    <w:p w:rsidR="00B74F01" w:rsidRDefault="00B74F01" w:rsidP="00F36F27">
      <w:pPr>
        <w:spacing w:after="0" w:line="276" w:lineRule="auto"/>
        <w:ind w:left="454" w:right="454"/>
        <w:jc w:val="both"/>
        <w:rPr>
          <w:rFonts w:ascii="Arial" w:hAnsi="Arial" w:cs="Arial"/>
          <w:lang w:val="en-US"/>
        </w:rPr>
      </w:pPr>
    </w:p>
    <w:p w:rsidR="00B74F01" w:rsidRDefault="00B74F01" w:rsidP="00F36F27">
      <w:pPr>
        <w:spacing w:after="0"/>
        <w:ind w:left="454" w:right="454"/>
        <w:jc w:val="both"/>
        <w:rPr>
          <w:rFonts w:ascii="Arial" w:hAnsi="Arial" w:cs="Arial"/>
          <w:lang w:eastAsia="en-ZA"/>
        </w:rPr>
      </w:pPr>
      <w:r>
        <w:rPr>
          <w:rFonts w:ascii="Arial" w:hAnsi="Arial" w:cs="Arial"/>
          <w:color w:val="000000"/>
          <w:lang w:eastAsia="en-ZA"/>
        </w:rPr>
        <w:t xml:space="preserve">Issued by: </w:t>
      </w:r>
    </w:p>
    <w:p w:rsidR="00B74F01" w:rsidRDefault="00B74F01" w:rsidP="00F36F27">
      <w:pPr>
        <w:spacing w:after="0"/>
        <w:ind w:left="454" w:right="454"/>
        <w:jc w:val="both"/>
        <w:rPr>
          <w:rFonts w:ascii="Arial" w:hAnsi="Arial" w:cs="Arial"/>
          <w:color w:val="000000"/>
          <w:lang w:eastAsia="en-ZA"/>
        </w:rPr>
      </w:pPr>
      <w:r>
        <w:rPr>
          <w:rFonts w:ascii="Arial" w:hAnsi="Arial" w:cs="Arial"/>
          <w:color w:val="000000"/>
          <w:lang w:eastAsia="en-ZA"/>
        </w:rPr>
        <w:t xml:space="preserve">Chantelle Benjamin </w:t>
      </w:r>
    </w:p>
    <w:p w:rsidR="00B74F01" w:rsidRDefault="00B74F01" w:rsidP="00F36F27">
      <w:pPr>
        <w:spacing w:after="0"/>
        <w:ind w:left="454" w:right="454"/>
        <w:jc w:val="both"/>
        <w:rPr>
          <w:rFonts w:ascii="Arial" w:hAnsi="Arial" w:cs="Arial"/>
          <w:color w:val="000000"/>
          <w:lang w:eastAsia="en-ZA"/>
        </w:rPr>
      </w:pPr>
      <w:r>
        <w:rPr>
          <w:rFonts w:ascii="Arial" w:hAnsi="Arial" w:cs="Arial"/>
          <w:color w:val="000000"/>
          <w:lang w:eastAsia="en-ZA"/>
        </w:rPr>
        <w:t>Communications: Competition Tribunal   </w:t>
      </w:r>
    </w:p>
    <w:p w:rsidR="00B74F01" w:rsidRDefault="00B74F01" w:rsidP="00F36F27">
      <w:pPr>
        <w:spacing w:after="0"/>
        <w:ind w:left="454" w:right="454"/>
        <w:jc w:val="both"/>
        <w:rPr>
          <w:rFonts w:ascii="Arial" w:hAnsi="Arial" w:cs="Arial"/>
          <w:color w:val="000000"/>
          <w:lang w:eastAsia="en-ZA"/>
        </w:rPr>
      </w:pPr>
      <w:r>
        <w:rPr>
          <w:rFonts w:ascii="Arial" w:hAnsi="Arial" w:cs="Arial"/>
          <w:color w:val="000000"/>
          <w:lang w:eastAsia="en-ZA"/>
        </w:rPr>
        <w:t xml:space="preserve">Tel (012)394 1383                                      </w:t>
      </w:r>
    </w:p>
    <w:p w:rsidR="00B74F01" w:rsidRDefault="00B74F01" w:rsidP="00F36F27">
      <w:pPr>
        <w:spacing w:after="0"/>
        <w:ind w:left="454" w:right="454"/>
        <w:jc w:val="both"/>
        <w:rPr>
          <w:rFonts w:ascii="Arial" w:hAnsi="Arial" w:cs="Arial"/>
          <w:color w:val="000000"/>
          <w:lang w:eastAsia="en-ZA"/>
        </w:rPr>
      </w:pPr>
      <w:r>
        <w:rPr>
          <w:rFonts w:ascii="Arial" w:hAnsi="Arial" w:cs="Arial"/>
          <w:color w:val="000000"/>
          <w:lang w:eastAsia="en-ZA"/>
        </w:rPr>
        <w:t>Cell: +27 (0) 73 007 5603  </w:t>
      </w:r>
    </w:p>
    <w:p w:rsidR="00B74F01" w:rsidRDefault="00B74F01" w:rsidP="00F36F27">
      <w:pPr>
        <w:spacing w:after="0"/>
        <w:ind w:left="454" w:right="454"/>
        <w:jc w:val="both"/>
        <w:rPr>
          <w:rFonts w:ascii="Arial" w:hAnsi="Arial" w:cs="Arial"/>
          <w:lang w:eastAsia="en-ZA"/>
        </w:rPr>
      </w:pPr>
      <w:r>
        <w:rPr>
          <w:rFonts w:ascii="Arial" w:hAnsi="Arial" w:cs="Arial"/>
          <w:color w:val="000000"/>
          <w:lang w:eastAsia="en-ZA"/>
        </w:rPr>
        <w:t xml:space="preserve">Twitter: @comptrib                                        </w:t>
      </w:r>
    </w:p>
    <w:p w:rsidR="00B74F01" w:rsidRDefault="00B74F01" w:rsidP="00F36F27">
      <w:pPr>
        <w:spacing w:after="0"/>
        <w:ind w:left="454" w:right="454"/>
        <w:jc w:val="both"/>
        <w:rPr>
          <w:rFonts w:ascii="Arial" w:hAnsi="Arial" w:cs="Arial"/>
        </w:rPr>
      </w:pPr>
      <w:r>
        <w:rPr>
          <w:rFonts w:ascii="Arial" w:hAnsi="Arial" w:cs="Arial"/>
          <w:color w:val="000000"/>
          <w:lang w:eastAsia="en-ZA"/>
        </w:rPr>
        <w:t xml:space="preserve">E-Mail: </w:t>
      </w:r>
      <w:hyperlink r:id="rId6" w:history="1">
        <w:r>
          <w:rPr>
            <w:rStyle w:val="Hyperlink"/>
            <w:rFonts w:ascii="Arial" w:hAnsi="Arial" w:cs="Arial"/>
            <w:lang w:eastAsia="en-ZA"/>
          </w:rPr>
          <w:t>chantelleb@comptrib.co.za</w:t>
        </w:r>
      </w:hyperlink>
      <w:r>
        <w:rPr>
          <w:rFonts w:ascii="Arial" w:hAnsi="Arial" w:cs="Arial"/>
        </w:rPr>
        <w:t xml:space="preserve"> </w:t>
      </w:r>
    </w:p>
    <w:p w:rsidR="00B74F01" w:rsidRDefault="00B74F01" w:rsidP="00F36F27">
      <w:pPr>
        <w:spacing w:after="0"/>
        <w:ind w:left="454" w:right="454"/>
        <w:jc w:val="both"/>
        <w:rPr>
          <w:rFonts w:ascii="Arial" w:hAnsi="Arial" w:cs="Arial"/>
          <w:color w:val="000000"/>
        </w:rPr>
      </w:pPr>
    </w:p>
    <w:p w:rsidR="00B74F01" w:rsidRDefault="00B74F01" w:rsidP="00F36F27">
      <w:pPr>
        <w:spacing w:after="0"/>
        <w:ind w:left="454" w:right="454"/>
        <w:jc w:val="both"/>
        <w:rPr>
          <w:rFonts w:ascii="Arial" w:hAnsi="Arial" w:cs="Arial"/>
          <w:color w:val="000000"/>
        </w:rPr>
      </w:pPr>
    </w:p>
    <w:p w:rsidR="00B74F01" w:rsidRDefault="00B74F01" w:rsidP="00F36F27">
      <w:pPr>
        <w:spacing w:after="0"/>
        <w:ind w:left="454" w:right="454"/>
        <w:jc w:val="both"/>
        <w:rPr>
          <w:rFonts w:ascii="Arial" w:hAnsi="Arial" w:cs="Arial"/>
          <w:lang w:eastAsia="en-ZA"/>
        </w:rPr>
      </w:pPr>
      <w:r>
        <w:rPr>
          <w:rFonts w:ascii="Arial" w:hAnsi="Arial" w:cs="Arial"/>
          <w:color w:val="000000"/>
          <w:lang w:eastAsia="en-ZA"/>
        </w:rPr>
        <w:t>On Behalf Of:</w:t>
      </w:r>
    </w:p>
    <w:p w:rsidR="00B74F01" w:rsidRDefault="00B74F01" w:rsidP="00F36F27">
      <w:pPr>
        <w:spacing w:after="0"/>
        <w:ind w:left="454" w:right="454"/>
        <w:jc w:val="both"/>
        <w:rPr>
          <w:rFonts w:ascii="Arial" w:hAnsi="Arial" w:cs="Arial"/>
          <w:lang w:eastAsia="en-ZA"/>
        </w:rPr>
      </w:pPr>
      <w:r>
        <w:rPr>
          <w:rFonts w:ascii="Arial" w:hAnsi="Arial" w:cs="Arial"/>
          <w:color w:val="000000"/>
          <w:lang w:eastAsia="en-ZA"/>
        </w:rPr>
        <w:t>Lerato Motaung                                                   </w:t>
      </w:r>
    </w:p>
    <w:p w:rsidR="00B74F01" w:rsidRDefault="00B74F01" w:rsidP="00F36F27">
      <w:pPr>
        <w:spacing w:after="0"/>
        <w:ind w:left="454" w:right="454"/>
        <w:jc w:val="both"/>
        <w:rPr>
          <w:rFonts w:ascii="Arial" w:hAnsi="Arial" w:cs="Arial"/>
          <w:lang w:eastAsia="en-ZA"/>
        </w:rPr>
      </w:pPr>
      <w:r>
        <w:rPr>
          <w:rFonts w:ascii="Arial" w:hAnsi="Arial" w:cs="Arial"/>
          <w:color w:val="000000"/>
          <w:lang w:eastAsia="en-ZA"/>
        </w:rPr>
        <w:t xml:space="preserve">Registrar: Competition Tribunal                                         </w:t>
      </w:r>
    </w:p>
    <w:p w:rsidR="00B74F01" w:rsidRDefault="00B74F01" w:rsidP="00F36F27">
      <w:pPr>
        <w:spacing w:after="0"/>
        <w:ind w:left="454" w:right="454"/>
        <w:jc w:val="both"/>
        <w:rPr>
          <w:rFonts w:ascii="Arial" w:hAnsi="Arial" w:cs="Arial"/>
          <w:lang w:eastAsia="en-ZA"/>
        </w:rPr>
      </w:pPr>
      <w:r>
        <w:rPr>
          <w:rFonts w:ascii="Arial" w:hAnsi="Arial" w:cs="Arial"/>
          <w:color w:val="000000"/>
          <w:lang w:eastAsia="en-ZA"/>
        </w:rPr>
        <w:t xml:space="preserve">Tel: (012) 394 3355                                              </w:t>
      </w:r>
    </w:p>
    <w:p w:rsidR="00B74F01" w:rsidRDefault="00B74F01" w:rsidP="00F36F27">
      <w:pPr>
        <w:spacing w:after="0"/>
        <w:ind w:left="454" w:right="454"/>
        <w:jc w:val="both"/>
        <w:rPr>
          <w:rFonts w:ascii="Arial" w:hAnsi="Arial" w:cs="Arial"/>
          <w:lang w:eastAsia="en-ZA"/>
        </w:rPr>
      </w:pPr>
      <w:r>
        <w:rPr>
          <w:rFonts w:ascii="Arial" w:hAnsi="Arial" w:cs="Arial"/>
          <w:color w:val="000000"/>
          <w:lang w:eastAsia="en-ZA"/>
        </w:rPr>
        <w:t xml:space="preserve">Cell: +27 (0) 82 556 3221                                               </w:t>
      </w:r>
    </w:p>
    <w:p w:rsidR="00B74F01" w:rsidRDefault="00B74F01" w:rsidP="00F36F27">
      <w:pPr>
        <w:spacing w:after="0"/>
        <w:ind w:left="454" w:right="454"/>
        <w:jc w:val="both"/>
        <w:rPr>
          <w:rFonts w:ascii="Arial" w:hAnsi="Arial" w:cs="Arial"/>
        </w:rPr>
      </w:pPr>
      <w:r>
        <w:rPr>
          <w:rFonts w:ascii="Arial" w:hAnsi="Arial" w:cs="Arial"/>
          <w:color w:val="000000"/>
          <w:lang w:eastAsia="en-ZA"/>
        </w:rPr>
        <w:t xml:space="preserve">E-Mail: </w:t>
      </w:r>
      <w:hyperlink r:id="rId7" w:history="1">
        <w:r>
          <w:rPr>
            <w:rStyle w:val="Hyperlink"/>
            <w:rFonts w:ascii="Arial" w:hAnsi="Arial" w:cs="Arial"/>
            <w:lang w:eastAsia="en-ZA"/>
          </w:rPr>
          <w:t>LeratoM@comptrib.co.za</w:t>
        </w:r>
      </w:hyperlink>
    </w:p>
    <w:p w:rsidR="00B74F01" w:rsidRDefault="00B74F01" w:rsidP="00B74F01"/>
    <w:p w:rsidR="00C35EB2" w:rsidRDefault="00971BA9"/>
    <w:sectPr w:rsidR="00C35E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F01"/>
    <w:rsid w:val="003B0B38"/>
    <w:rsid w:val="003C165A"/>
    <w:rsid w:val="003D22FD"/>
    <w:rsid w:val="00482491"/>
    <w:rsid w:val="00682CCB"/>
    <w:rsid w:val="00A738AD"/>
    <w:rsid w:val="00B74F01"/>
    <w:rsid w:val="00EE0F15"/>
    <w:rsid w:val="00F36F2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524EB-8ADA-43B4-935C-9A64FCF5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F01"/>
    <w:pPr>
      <w:spacing w:line="252"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4F01"/>
    <w:rPr>
      <w:color w:val="0563C1"/>
      <w:u w:val="single"/>
    </w:rPr>
  </w:style>
  <w:style w:type="paragraph" w:customStyle="1" w:styleId="Default">
    <w:name w:val="Default"/>
    <w:basedOn w:val="Normal"/>
    <w:rsid w:val="00B74F01"/>
    <w:pPr>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19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eratoM@comptrib.co.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AlistairV\AppData\Local\Microsoft\Windows\Temporary%20Internet%20Files\Content.Outlook\HMBET88G\chantelleb@comptrib.co.za" TargetMode="External"/><Relationship Id="rId5" Type="http://schemas.openxmlformats.org/officeDocument/2006/relationships/image" Target="cid:image001.jpg@01D362EB.8B95E71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Chantelle Benjamin</cp:lastModifiedBy>
  <cp:revision>3</cp:revision>
  <dcterms:created xsi:type="dcterms:W3CDTF">2017-11-22T14:39:00Z</dcterms:created>
  <dcterms:modified xsi:type="dcterms:W3CDTF">2017-11-22T15:14:00Z</dcterms:modified>
</cp:coreProperties>
</file>