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CB9" w:rsidRPr="00696066" w:rsidRDefault="00120CB9" w:rsidP="00BC358C">
      <w:pPr>
        <w:spacing w:after="160" w:line="276" w:lineRule="auto"/>
        <w:ind w:right="567"/>
        <w:contextualSpacing/>
        <w:jc w:val="both"/>
        <w:rPr>
          <w:rFonts w:ascii="Arial" w:hAnsi="Arial" w:cs="Arial"/>
          <w:b/>
          <w:bCs/>
          <w:sz w:val="24"/>
          <w:szCs w:val="24"/>
        </w:rPr>
      </w:pPr>
    </w:p>
    <w:p w:rsidR="00120CB9" w:rsidRPr="00BC358C" w:rsidRDefault="00120CB9" w:rsidP="00696066">
      <w:pPr>
        <w:pStyle w:val="Default"/>
        <w:ind w:left="567" w:right="567"/>
        <w:jc w:val="center"/>
        <w:rPr>
          <w:sz w:val="22"/>
          <w:szCs w:val="22"/>
        </w:rPr>
      </w:pPr>
      <w:r w:rsidRPr="00BC358C">
        <w:rPr>
          <w:b/>
          <w:noProof/>
          <w:sz w:val="22"/>
          <w:szCs w:val="22"/>
          <w:lang w:val="en-US"/>
        </w:rPr>
        <w:drawing>
          <wp:inline distT="0" distB="0" distL="0" distR="0" wp14:anchorId="32503CC0" wp14:editId="4B376F56">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120CB9" w:rsidRPr="00BC358C" w:rsidRDefault="00120CB9" w:rsidP="00696066">
      <w:pPr>
        <w:pStyle w:val="Default"/>
        <w:ind w:left="567" w:right="567"/>
        <w:rPr>
          <w:b/>
          <w:bCs/>
          <w:sz w:val="22"/>
          <w:szCs w:val="22"/>
        </w:rPr>
      </w:pPr>
    </w:p>
    <w:p w:rsidR="00120CB9" w:rsidRPr="00BC358C" w:rsidRDefault="00120CB9" w:rsidP="00696066">
      <w:pPr>
        <w:pStyle w:val="Default"/>
        <w:ind w:left="567" w:right="567"/>
        <w:rPr>
          <w:b/>
          <w:bCs/>
          <w:sz w:val="22"/>
          <w:szCs w:val="22"/>
        </w:rPr>
      </w:pPr>
    </w:p>
    <w:p w:rsidR="00120CB9" w:rsidRPr="00BC358C" w:rsidRDefault="00120CB9" w:rsidP="00696066">
      <w:pPr>
        <w:ind w:left="567" w:right="567"/>
        <w:jc w:val="center"/>
        <w:rPr>
          <w:rFonts w:ascii="Arial" w:hAnsi="Arial" w:cs="Arial"/>
          <w:b/>
        </w:rPr>
      </w:pPr>
    </w:p>
    <w:p w:rsidR="00120CB9" w:rsidRPr="00BC358C" w:rsidRDefault="00BC358C" w:rsidP="00696066">
      <w:pPr>
        <w:ind w:left="567" w:right="567"/>
        <w:jc w:val="center"/>
        <w:rPr>
          <w:rFonts w:ascii="Arial" w:hAnsi="Arial" w:cs="Arial"/>
          <w:b/>
        </w:rPr>
      </w:pPr>
      <w:r w:rsidRPr="00BC358C">
        <w:rPr>
          <w:rFonts w:ascii="Arial" w:hAnsi="Arial" w:cs="Arial"/>
          <w:b/>
        </w:rPr>
        <w:t xml:space="preserve">OUTCOME OF </w:t>
      </w:r>
      <w:r w:rsidR="00120CB9" w:rsidRPr="00BC358C">
        <w:rPr>
          <w:rFonts w:ascii="Arial" w:hAnsi="Arial" w:cs="Arial"/>
          <w:b/>
        </w:rPr>
        <w:t>TRIBUNAL</w:t>
      </w:r>
      <w:r w:rsidRPr="00BC358C">
        <w:rPr>
          <w:rFonts w:ascii="Arial" w:hAnsi="Arial" w:cs="Arial"/>
          <w:b/>
        </w:rPr>
        <w:t xml:space="preserve"> HEARING</w:t>
      </w:r>
      <w:r w:rsidR="00120CB9" w:rsidRPr="00BC358C">
        <w:rPr>
          <w:rFonts w:ascii="Arial" w:hAnsi="Arial" w:cs="Arial"/>
          <w:b/>
        </w:rPr>
        <w:t xml:space="preserve"> WEDNESDAY, 8 NOVEMBER, 2017</w:t>
      </w:r>
    </w:p>
    <w:p w:rsidR="00120CB9" w:rsidRPr="00BC358C" w:rsidRDefault="00120CB9" w:rsidP="00696066">
      <w:pPr>
        <w:ind w:left="567" w:right="567"/>
        <w:jc w:val="center"/>
        <w:rPr>
          <w:rFonts w:ascii="Arial" w:hAnsi="Arial" w:cs="Arial"/>
          <w:b/>
        </w:rPr>
      </w:pPr>
    </w:p>
    <w:p w:rsidR="00120CB9" w:rsidRPr="00BC358C" w:rsidRDefault="00120CB9" w:rsidP="00696066">
      <w:pPr>
        <w:ind w:left="567" w:right="567"/>
        <w:jc w:val="both"/>
        <w:rPr>
          <w:rFonts w:ascii="Arial" w:hAnsi="Arial" w:cs="Arial"/>
        </w:rPr>
      </w:pPr>
    </w:p>
    <w:tbl>
      <w:tblPr>
        <w:tblStyle w:val="TableGrid"/>
        <w:tblW w:w="8930" w:type="dxa"/>
        <w:tblInd w:w="279"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559"/>
        <w:gridCol w:w="2835"/>
        <w:gridCol w:w="2552"/>
        <w:gridCol w:w="1984"/>
      </w:tblGrid>
      <w:tr w:rsidR="00BC358C" w:rsidRPr="00BC358C" w:rsidTr="00BC358C">
        <w:trPr>
          <w:trHeight w:val="972"/>
        </w:trPr>
        <w:tc>
          <w:tcPr>
            <w:tcW w:w="1559" w:type="dxa"/>
            <w:shd w:val="clear" w:color="auto" w:fill="996633"/>
          </w:tcPr>
          <w:p w:rsidR="00BC358C" w:rsidRPr="00BC358C" w:rsidRDefault="00BC358C" w:rsidP="00BC358C">
            <w:pPr>
              <w:ind w:right="567"/>
              <w:rPr>
                <w:rFonts w:ascii="Arial" w:hAnsi="Arial" w:cs="Arial"/>
                <w:color w:val="FFFFFF" w:themeColor="background1"/>
              </w:rPr>
            </w:pPr>
            <w:r w:rsidRPr="00BC358C">
              <w:rPr>
                <w:rFonts w:ascii="Arial" w:hAnsi="Arial" w:cs="Arial"/>
                <w:color w:val="FFFFFF" w:themeColor="background1"/>
              </w:rPr>
              <w:t>Type of matter</w:t>
            </w:r>
          </w:p>
        </w:tc>
        <w:tc>
          <w:tcPr>
            <w:tcW w:w="2835" w:type="dxa"/>
            <w:shd w:val="clear" w:color="auto" w:fill="996633"/>
          </w:tcPr>
          <w:p w:rsidR="00BC358C" w:rsidRPr="00BC358C" w:rsidRDefault="00BC358C" w:rsidP="00BC358C">
            <w:pPr>
              <w:ind w:right="567"/>
              <w:rPr>
                <w:rFonts w:ascii="Arial" w:hAnsi="Arial" w:cs="Arial"/>
                <w:color w:val="FFFFFF" w:themeColor="background1"/>
              </w:rPr>
            </w:pPr>
            <w:r w:rsidRPr="00BC358C">
              <w:rPr>
                <w:rFonts w:ascii="Arial" w:hAnsi="Arial" w:cs="Arial"/>
                <w:color w:val="FFFFFF" w:themeColor="background1"/>
              </w:rPr>
              <w:t>Parties involved</w:t>
            </w:r>
          </w:p>
        </w:tc>
        <w:tc>
          <w:tcPr>
            <w:tcW w:w="2552" w:type="dxa"/>
            <w:shd w:val="clear" w:color="auto" w:fill="996633"/>
          </w:tcPr>
          <w:p w:rsidR="00BC358C" w:rsidRPr="00BC358C" w:rsidRDefault="00BC358C" w:rsidP="00BC358C">
            <w:pPr>
              <w:ind w:right="567"/>
              <w:rPr>
                <w:rFonts w:ascii="Arial" w:hAnsi="Arial" w:cs="Arial"/>
                <w:color w:val="FFFFFF" w:themeColor="background1"/>
              </w:rPr>
            </w:pPr>
            <w:r w:rsidRPr="00BC358C">
              <w:rPr>
                <w:rFonts w:ascii="Arial" w:hAnsi="Arial" w:cs="Arial"/>
                <w:color w:val="FFFFFF" w:themeColor="background1"/>
              </w:rPr>
              <w:t>Competition Commission’s recommendation to Tribunal</w:t>
            </w:r>
          </w:p>
        </w:tc>
        <w:tc>
          <w:tcPr>
            <w:tcW w:w="1984" w:type="dxa"/>
            <w:shd w:val="clear" w:color="auto" w:fill="996633"/>
          </w:tcPr>
          <w:p w:rsidR="00BC358C" w:rsidRPr="00BC358C" w:rsidRDefault="00BC358C" w:rsidP="00BC358C">
            <w:pPr>
              <w:ind w:right="567"/>
              <w:rPr>
                <w:rFonts w:ascii="Arial" w:hAnsi="Arial" w:cs="Arial"/>
                <w:color w:val="FFFFFF" w:themeColor="background1"/>
              </w:rPr>
            </w:pPr>
            <w:r w:rsidRPr="00BC358C">
              <w:rPr>
                <w:rFonts w:ascii="Arial" w:hAnsi="Arial" w:cs="Arial"/>
                <w:color w:val="FFFFFF" w:themeColor="background1"/>
              </w:rPr>
              <w:t>Tribunal decisions</w:t>
            </w:r>
          </w:p>
        </w:tc>
      </w:tr>
      <w:tr w:rsidR="00BC358C" w:rsidRPr="00BC358C" w:rsidTr="00BC358C">
        <w:trPr>
          <w:trHeight w:val="493"/>
        </w:trPr>
        <w:tc>
          <w:tcPr>
            <w:tcW w:w="1559" w:type="dxa"/>
          </w:tcPr>
          <w:p w:rsidR="00BC358C" w:rsidRPr="00BC358C" w:rsidRDefault="00BC358C" w:rsidP="00BC358C">
            <w:pPr>
              <w:ind w:right="567"/>
              <w:jc w:val="both"/>
              <w:rPr>
                <w:rFonts w:ascii="Arial" w:hAnsi="Arial" w:cs="Arial"/>
              </w:rPr>
            </w:pPr>
            <w:r w:rsidRPr="00BC358C">
              <w:rPr>
                <w:rFonts w:ascii="Arial" w:hAnsi="Arial" w:cs="Arial"/>
              </w:rPr>
              <w:t>Large merger</w:t>
            </w:r>
          </w:p>
        </w:tc>
        <w:tc>
          <w:tcPr>
            <w:tcW w:w="2835" w:type="dxa"/>
          </w:tcPr>
          <w:p w:rsidR="00BC358C" w:rsidRPr="00BC358C" w:rsidRDefault="00BC358C" w:rsidP="00BC358C">
            <w:pPr>
              <w:ind w:right="567"/>
              <w:jc w:val="both"/>
              <w:rPr>
                <w:rFonts w:ascii="Arial" w:hAnsi="Arial" w:cs="Arial"/>
              </w:rPr>
            </w:pPr>
            <w:r w:rsidRPr="00BC358C">
              <w:rPr>
                <w:rFonts w:ascii="Arial" w:hAnsi="Arial" w:cs="Arial"/>
                <w:color w:val="000000"/>
              </w:rPr>
              <w:t>Murray and Roberts Limited And Bombela Civil Joint Venture (Pty) Ltd</w:t>
            </w:r>
          </w:p>
        </w:tc>
        <w:tc>
          <w:tcPr>
            <w:tcW w:w="2552" w:type="dxa"/>
          </w:tcPr>
          <w:p w:rsidR="00BC358C" w:rsidRPr="00BC358C" w:rsidRDefault="00BC358C" w:rsidP="00BC358C">
            <w:pPr>
              <w:ind w:right="567"/>
              <w:jc w:val="both"/>
              <w:rPr>
                <w:rFonts w:ascii="Arial" w:hAnsi="Arial" w:cs="Arial"/>
              </w:rPr>
            </w:pPr>
            <w:r w:rsidRPr="00BC358C">
              <w:rPr>
                <w:rFonts w:ascii="Arial" w:hAnsi="Arial" w:cs="Arial"/>
              </w:rPr>
              <w:t>Approve without  conditions</w:t>
            </w:r>
          </w:p>
        </w:tc>
        <w:tc>
          <w:tcPr>
            <w:tcW w:w="1984" w:type="dxa"/>
          </w:tcPr>
          <w:p w:rsidR="00BC358C" w:rsidRPr="00BC358C" w:rsidRDefault="00BC358C" w:rsidP="00BC358C">
            <w:pPr>
              <w:ind w:right="567"/>
              <w:jc w:val="both"/>
              <w:rPr>
                <w:rFonts w:ascii="Arial" w:hAnsi="Arial" w:cs="Arial"/>
              </w:rPr>
            </w:pPr>
            <w:r w:rsidRPr="00BC358C">
              <w:rPr>
                <w:rFonts w:ascii="Arial" w:hAnsi="Arial" w:cs="Arial"/>
              </w:rPr>
              <w:t xml:space="preserve">Approved without conditions </w:t>
            </w:r>
          </w:p>
        </w:tc>
      </w:tr>
      <w:tr w:rsidR="00BC358C" w:rsidRPr="00BC358C" w:rsidTr="00BC358C">
        <w:trPr>
          <w:trHeight w:val="537"/>
        </w:trPr>
        <w:tc>
          <w:tcPr>
            <w:tcW w:w="1559" w:type="dxa"/>
          </w:tcPr>
          <w:p w:rsidR="00BC358C" w:rsidRPr="00BC358C" w:rsidRDefault="00BC358C" w:rsidP="00BC358C">
            <w:pPr>
              <w:ind w:right="567"/>
              <w:jc w:val="both"/>
              <w:rPr>
                <w:rFonts w:ascii="Arial" w:hAnsi="Arial" w:cs="Arial"/>
                <w:color w:val="000000"/>
              </w:rPr>
            </w:pPr>
            <w:r w:rsidRPr="00BC358C">
              <w:rPr>
                <w:rFonts w:ascii="Arial" w:hAnsi="Arial" w:cs="Arial"/>
                <w:color w:val="000000"/>
              </w:rPr>
              <w:t xml:space="preserve">Large merger </w:t>
            </w:r>
          </w:p>
        </w:tc>
        <w:tc>
          <w:tcPr>
            <w:tcW w:w="2835" w:type="dxa"/>
          </w:tcPr>
          <w:p w:rsidR="00BC358C" w:rsidRPr="00BC358C" w:rsidRDefault="00BC358C" w:rsidP="00BC358C">
            <w:pPr>
              <w:ind w:right="567"/>
              <w:jc w:val="both"/>
              <w:rPr>
                <w:rFonts w:ascii="Arial" w:hAnsi="Arial" w:cs="Arial"/>
                <w:color w:val="000000"/>
              </w:rPr>
            </w:pPr>
            <w:r w:rsidRPr="00BC358C">
              <w:rPr>
                <w:rFonts w:ascii="Arial" w:hAnsi="Arial" w:cs="Arial"/>
                <w:color w:val="000000"/>
              </w:rPr>
              <w:t>RMB Property HODCO 1 (Pty) Ltd And Celasys (Pty) Ltd</w:t>
            </w:r>
          </w:p>
        </w:tc>
        <w:tc>
          <w:tcPr>
            <w:tcW w:w="2552" w:type="dxa"/>
          </w:tcPr>
          <w:p w:rsidR="00BC358C" w:rsidRPr="00BC358C" w:rsidRDefault="00BC358C" w:rsidP="00BC358C">
            <w:pPr>
              <w:ind w:right="567"/>
              <w:rPr>
                <w:rFonts w:ascii="Arial" w:hAnsi="Arial" w:cs="Arial"/>
              </w:rPr>
            </w:pPr>
            <w:r w:rsidRPr="00BC358C">
              <w:rPr>
                <w:rFonts w:ascii="Arial" w:hAnsi="Arial" w:cs="Arial"/>
              </w:rPr>
              <w:t>Approve without  conditions</w:t>
            </w:r>
          </w:p>
        </w:tc>
        <w:tc>
          <w:tcPr>
            <w:tcW w:w="1984" w:type="dxa"/>
          </w:tcPr>
          <w:p w:rsidR="00BC358C" w:rsidRPr="00BC358C" w:rsidRDefault="00BC358C" w:rsidP="00BC358C">
            <w:pPr>
              <w:ind w:right="567"/>
              <w:rPr>
                <w:rFonts w:ascii="Arial" w:hAnsi="Arial" w:cs="Arial"/>
              </w:rPr>
            </w:pPr>
            <w:r w:rsidRPr="00BC358C">
              <w:rPr>
                <w:rFonts w:ascii="Arial" w:hAnsi="Arial" w:cs="Arial"/>
              </w:rPr>
              <w:t xml:space="preserve">Approved without conditions </w:t>
            </w:r>
          </w:p>
        </w:tc>
      </w:tr>
    </w:tbl>
    <w:p w:rsidR="00B61130" w:rsidRPr="00BC358C" w:rsidRDefault="00B61130" w:rsidP="00696066">
      <w:pPr>
        <w:spacing w:after="160" w:line="276" w:lineRule="auto"/>
        <w:ind w:left="567" w:right="567"/>
        <w:contextualSpacing/>
        <w:jc w:val="both"/>
        <w:rPr>
          <w:rFonts w:ascii="Arial" w:hAnsi="Arial" w:cs="Arial"/>
          <w:b/>
          <w:bCs/>
        </w:rPr>
      </w:pPr>
    </w:p>
    <w:p w:rsidR="00B61130" w:rsidRPr="00BC358C" w:rsidRDefault="00B61130" w:rsidP="00696066">
      <w:pPr>
        <w:spacing w:after="160" w:line="276" w:lineRule="auto"/>
        <w:ind w:left="567" w:right="567"/>
        <w:contextualSpacing/>
        <w:jc w:val="both"/>
        <w:rPr>
          <w:rFonts w:ascii="Arial" w:hAnsi="Arial" w:cs="Arial"/>
          <w:b/>
          <w:bCs/>
        </w:rPr>
      </w:pPr>
    </w:p>
    <w:p w:rsidR="00DA26E6" w:rsidRPr="00BC358C" w:rsidRDefault="00DA26E6" w:rsidP="00696066">
      <w:pPr>
        <w:spacing w:after="160" w:line="276" w:lineRule="auto"/>
        <w:ind w:left="567" w:right="567"/>
        <w:contextualSpacing/>
        <w:jc w:val="both"/>
        <w:rPr>
          <w:rFonts w:ascii="Arial" w:hAnsi="Arial" w:cs="Arial"/>
          <w:b/>
          <w:bCs/>
        </w:rPr>
      </w:pPr>
      <w:r w:rsidRPr="00BC358C">
        <w:rPr>
          <w:rFonts w:ascii="Arial" w:hAnsi="Arial" w:cs="Arial"/>
          <w:b/>
          <w:bCs/>
        </w:rPr>
        <w:t>Murray &amp; Roberts</w:t>
      </w:r>
      <w:r w:rsidR="00B61130" w:rsidRPr="00BC358C">
        <w:rPr>
          <w:rFonts w:ascii="Arial" w:hAnsi="Arial" w:cs="Arial"/>
          <w:b/>
          <w:bCs/>
        </w:rPr>
        <w:t xml:space="preserve"> merge</w:t>
      </w:r>
      <w:r w:rsidR="00BC358C">
        <w:rPr>
          <w:rFonts w:ascii="Arial" w:hAnsi="Arial" w:cs="Arial"/>
          <w:b/>
          <w:bCs/>
        </w:rPr>
        <w:t>r</w:t>
      </w:r>
      <w:r w:rsidRPr="00BC358C">
        <w:rPr>
          <w:rFonts w:ascii="Arial" w:hAnsi="Arial" w:cs="Arial"/>
          <w:b/>
          <w:bCs/>
        </w:rPr>
        <w:t xml:space="preserve"> with Bombela Civils Joint Venture </w:t>
      </w:r>
      <w:r w:rsidR="00BC358C">
        <w:rPr>
          <w:rFonts w:ascii="Arial" w:hAnsi="Arial" w:cs="Arial"/>
          <w:b/>
          <w:bCs/>
        </w:rPr>
        <w:t>approved</w:t>
      </w:r>
    </w:p>
    <w:p w:rsidR="00DA26E6" w:rsidRPr="00BC358C" w:rsidRDefault="00DA26E6" w:rsidP="00696066">
      <w:pPr>
        <w:spacing w:line="276" w:lineRule="auto"/>
        <w:ind w:left="567" w:right="567"/>
        <w:contextualSpacing/>
        <w:jc w:val="both"/>
        <w:rPr>
          <w:rFonts w:ascii="Arial" w:hAnsi="Arial" w:cs="Arial"/>
          <w:b/>
          <w:bCs/>
        </w:rPr>
      </w:pPr>
    </w:p>
    <w:p w:rsidR="00DA26E6" w:rsidRPr="00BC358C" w:rsidRDefault="00DA26E6" w:rsidP="00696066">
      <w:pPr>
        <w:spacing w:line="276" w:lineRule="auto"/>
        <w:ind w:left="567" w:right="567"/>
        <w:jc w:val="both"/>
        <w:rPr>
          <w:rFonts w:ascii="Arial" w:hAnsi="Arial" w:cs="Arial"/>
          <w:lang w:val="en-GB"/>
        </w:rPr>
      </w:pPr>
      <w:r w:rsidRPr="00BC358C">
        <w:rPr>
          <w:rFonts w:ascii="Arial" w:hAnsi="Arial" w:cs="Arial"/>
          <w:lang w:val="en-GB"/>
        </w:rPr>
        <w:t>The</w:t>
      </w:r>
      <w:r w:rsidR="00B61130" w:rsidRPr="00BC358C">
        <w:rPr>
          <w:rFonts w:ascii="Arial" w:hAnsi="Arial" w:cs="Arial"/>
          <w:lang w:val="en-GB"/>
        </w:rPr>
        <w:t xml:space="preserve"> Competition</w:t>
      </w:r>
      <w:r w:rsidR="00BC358C">
        <w:rPr>
          <w:rFonts w:ascii="Arial" w:hAnsi="Arial" w:cs="Arial"/>
          <w:lang w:val="en-GB"/>
        </w:rPr>
        <w:t xml:space="preserve"> Tribunal has</w:t>
      </w:r>
      <w:r w:rsidR="00DC340A">
        <w:rPr>
          <w:rFonts w:ascii="Arial" w:hAnsi="Arial" w:cs="Arial"/>
          <w:lang w:val="en-GB"/>
        </w:rPr>
        <w:t xml:space="preserve"> unconditionally</w:t>
      </w:r>
      <w:r w:rsidR="00BC358C">
        <w:rPr>
          <w:rFonts w:ascii="Arial" w:hAnsi="Arial" w:cs="Arial"/>
          <w:lang w:val="en-GB"/>
        </w:rPr>
        <w:t xml:space="preserve"> approved the </w:t>
      </w:r>
      <w:r w:rsidRPr="00BC358C">
        <w:rPr>
          <w:rFonts w:ascii="Arial" w:hAnsi="Arial" w:cs="Arial"/>
          <w:lang w:val="en-GB"/>
        </w:rPr>
        <w:t>merger between Murray &amp; Roberts Limited (M&amp;R) and Bombela Civils Joint Venture Proprietary Limited (BCJV)</w:t>
      </w:r>
      <w:r w:rsidR="00DC340A">
        <w:rPr>
          <w:rFonts w:ascii="Arial" w:hAnsi="Arial" w:cs="Arial"/>
          <w:lang w:val="en-GB"/>
        </w:rPr>
        <w:t>. BCJV was</w:t>
      </w:r>
      <w:r w:rsidR="00BC358C">
        <w:rPr>
          <w:rFonts w:ascii="Arial" w:hAnsi="Arial" w:cs="Arial"/>
          <w:lang w:val="en-GB"/>
        </w:rPr>
        <w:t xml:space="preserve"> specially established for the construction of the Gautrain Rapid Rail Link</w:t>
      </w:r>
      <w:r w:rsidRPr="00BC358C">
        <w:rPr>
          <w:rFonts w:ascii="Arial" w:hAnsi="Arial" w:cs="Arial"/>
          <w:lang w:val="en-GB"/>
        </w:rPr>
        <w:t>.</w:t>
      </w:r>
    </w:p>
    <w:p w:rsidR="00DA26E6" w:rsidRPr="00BC358C" w:rsidRDefault="00DA26E6" w:rsidP="00696066">
      <w:pPr>
        <w:spacing w:line="276" w:lineRule="auto"/>
        <w:ind w:left="567" w:right="567"/>
        <w:jc w:val="both"/>
        <w:rPr>
          <w:rFonts w:ascii="Arial" w:hAnsi="Arial" w:cs="Arial"/>
          <w:lang w:val="en-GB"/>
        </w:rPr>
      </w:pPr>
    </w:p>
    <w:p w:rsidR="00DA26E6" w:rsidRPr="00BC358C" w:rsidRDefault="00DA26E6" w:rsidP="00696066">
      <w:pPr>
        <w:spacing w:line="276" w:lineRule="auto"/>
        <w:ind w:left="567" w:right="567"/>
        <w:jc w:val="both"/>
        <w:rPr>
          <w:rFonts w:ascii="Arial" w:hAnsi="Arial" w:cs="Arial"/>
          <w:lang w:val="en-GB"/>
        </w:rPr>
      </w:pPr>
      <w:r w:rsidRPr="00BC358C">
        <w:rPr>
          <w:rFonts w:ascii="Arial" w:hAnsi="Arial" w:cs="Arial"/>
          <w:lang w:val="en-GB"/>
        </w:rPr>
        <w:t>M&amp;R’s current business operations are focused on natural resources market sectors, specifically within: Metals and Minerals; Oil and Gas; and Power and Water. M&amp;R sold its civil engineering and construction division in April 2017.</w:t>
      </w:r>
    </w:p>
    <w:p w:rsidR="00DA26E6" w:rsidRPr="00BC358C" w:rsidRDefault="00DA26E6" w:rsidP="00696066">
      <w:pPr>
        <w:spacing w:line="276" w:lineRule="auto"/>
        <w:ind w:left="567" w:right="567"/>
        <w:jc w:val="both"/>
        <w:rPr>
          <w:rFonts w:ascii="Arial" w:hAnsi="Arial" w:cs="Arial"/>
          <w:lang w:val="en-GB"/>
        </w:rPr>
      </w:pPr>
    </w:p>
    <w:p w:rsidR="00DA26E6" w:rsidRPr="00BC358C" w:rsidRDefault="00DA26E6" w:rsidP="00696066">
      <w:pPr>
        <w:spacing w:line="276" w:lineRule="auto"/>
        <w:ind w:left="567" w:right="567"/>
        <w:jc w:val="both"/>
        <w:rPr>
          <w:rFonts w:ascii="Arial" w:hAnsi="Arial" w:cs="Arial"/>
          <w:lang w:val="en-GB"/>
        </w:rPr>
      </w:pPr>
      <w:r w:rsidRPr="00BC358C">
        <w:rPr>
          <w:rFonts w:ascii="Arial" w:hAnsi="Arial" w:cs="Arial"/>
          <w:lang w:val="en-GB"/>
        </w:rPr>
        <w:t>BCJV is a special purpose vehicle</w:t>
      </w:r>
      <w:r w:rsidR="00B61130" w:rsidRPr="00BC358C">
        <w:rPr>
          <w:rFonts w:ascii="Arial" w:hAnsi="Arial" w:cs="Arial"/>
          <w:lang w:val="en-GB"/>
        </w:rPr>
        <w:t xml:space="preserve"> owned by M&amp;R</w:t>
      </w:r>
      <w:r w:rsidRPr="00BC358C">
        <w:rPr>
          <w:rFonts w:ascii="Arial" w:hAnsi="Arial" w:cs="Arial"/>
          <w:lang w:val="en-GB"/>
        </w:rPr>
        <w:t xml:space="preserve"> and Bouygues Travaux Publics SAS. Post-</w:t>
      </w:r>
      <w:r w:rsidR="00B61130" w:rsidRPr="00BC358C">
        <w:rPr>
          <w:rFonts w:ascii="Arial" w:hAnsi="Arial" w:cs="Arial"/>
          <w:lang w:val="en-GB"/>
        </w:rPr>
        <w:t>merger M</w:t>
      </w:r>
      <w:r w:rsidRPr="00BC358C">
        <w:rPr>
          <w:rFonts w:ascii="Arial" w:hAnsi="Arial" w:cs="Arial"/>
          <w:lang w:val="en-GB"/>
        </w:rPr>
        <w:t>&amp;</w:t>
      </w:r>
      <w:r w:rsidR="00B61130" w:rsidRPr="00BC358C">
        <w:rPr>
          <w:rFonts w:ascii="Arial" w:hAnsi="Arial" w:cs="Arial"/>
          <w:lang w:val="en-GB"/>
        </w:rPr>
        <w:t>R</w:t>
      </w:r>
      <w:r w:rsidRPr="00BC358C">
        <w:rPr>
          <w:rFonts w:ascii="Arial" w:hAnsi="Arial" w:cs="Arial"/>
          <w:lang w:val="en-GB"/>
        </w:rPr>
        <w:t xml:space="preserve"> will control Bouygues</w:t>
      </w:r>
      <w:r w:rsidR="00B61130" w:rsidRPr="00BC358C">
        <w:rPr>
          <w:rFonts w:ascii="Arial" w:hAnsi="Arial" w:cs="Arial"/>
          <w:lang w:val="en-GB"/>
        </w:rPr>
        <w:t>.</w:t>
      </w:r>
      <w:r w:rsidRPr="00BC358C">
        <w:rPr>
          <w:rFonts w:ascii="Arial" w:hAnsi="Arial" w:cs="Arial"/>
          <w:lang w:val="en-GB"/>
        </w:rPr>
        <w:t xml:space="preserve"> </w:t>
      </w:r>
    </w:p>
    <w:p w:rsidR="00B61130" w:rsidRPr="00BC358C" w:rsidRDefault="00B61130" w:rsidP="00696066">
      <w:pPr>
        <w:spacing w:line="276" w:lineRule="auto"/>
        <w:ind w:left="567" w:right="567"/>
        <w:jc w:val="both"/>
        <w:rPr>
          <w:rFonts w:ascii="Arial" w:hAnsi="Arial" w:cs="Arial"/>
          <w:lang w:val="en-GB"/>
        </w:rPr>
      </w:pPr>
    </w:p>
    <w:p w:rsidR="00DA26E6" w:rsidRPr="00BC358C" w:rsidRDefault="00DA26E6" w:rsidP="00696066">
      <w:pPr>
        <w:spacing w:line="276" w:lineRule="auto"/>
        <w:ind w:left="567" w:right="567"/>
        <w:jc w:val="both"/>
        <w:rPr>
          <w:rFonts w:ascii="Arial" w:hAnsi="Arial" w:cs="Arial"/>
          <w:lang w:val="en-GB"/>
        </w:rPr>
      </w:pPr>
      <w:r w:rsidRPr="00BC358C">
        <w:rPr>
          <w:rFonts w:ascii="Arial" w:hAnsi="Arial" w:cs="Arial"/>
          <w:lang w:val="en-GB"/>
        </w:rPr>
        <w:t xml:space="preserve">The civil works were completed in December 2016. BCJV’s only remaining activities relate to its obligation to repair any latent defects within the civil works of the Gautrain. </w:t>
      </w:r>
    </w:p>
    <w:p w:rsidR="00DA26E6" w:rsidRPr="00BC358C" w:rsidRDefault="00DA26E6" w:rsidP="00696066">
      <w:pPr>
        <w:spacing w:line="276" w:lineRule="auto"/>
        <w:ind w:left="567" w:right="567"/>
        <w:jc w:val="both"/>
        <w:rPr>
          <w:rFonts w:ascii="Arial" w:hAnsi="Arial" w:cs="Arial"/>
          <w:lang w:val="en-GB"/>
        </w:rPr>
      </w:pPr>
    </w:p>
    <w:p w:rsidR="00DA26E6" w:rsidRPr="00BC358C" w:rsidRDefault="00DA26E6" w:rsidP="00696066">
      <w:pPr>
        <w:spacing w:line="276" w:lineRule="auto"/>
        <w:ind w:left="567" w:right="567"/>
        <w:jc w:val="both"/>
        <w:rPr>
          <w:rFonts w:ascii="Arial" w:hAnsi="Arial" w:cs="Arial"/>
          <w:lang w:val="en-GB"/>
        </w:rPr>
      </w:pPr>
      <w:r w:rsidRPr="00BC358C">
        <w:rPr>
          <w:rFonts w:ascii="Arial" w:hAnsi="Arial" w:cs="Arial"/>
          <w:lang w:val="en-GB"/>
        </w:rPr>
        <w:t xml:space="preserve">In relation to its obligation to repair any latent defects in the Gautrain project, BCJV will not itself undertake any of the repair work and will need to use its available funds to procure the services of third parties to effect any and all repair work relating to latent defects in the civils works it rendered for the Gautrain. </w:t>
      </w:r>
    </w:p>
    <w:p w:rsidR="00DA26E6" w:rsidRPr="00BC358C" w:rsidRDefault="00DA26E6" w:rsidP="00696066">
      <w:pPr>
        <w:spacing w:line="276" w:lineRule="auto"/>
        <w:ind w:left="567" w:right="567"/>
        <w:jc w:val="both"/>
        <w:rPr>
          <w:rFonts w:ascii="Arial" w:hAnsi="Arial" w:cs="Arial"/>
          <w:lang w:val="en-GB"/>
        </w:rPr>
      </w:pPr>
    </w:p>
    <w:p w:rsidR="00DA26E6" w:rsidRPr="00BC358C" w:rsidRDefault="00DA26E6" w:rsidP="00696066">
      <w:pPr>
        <w:spacing w:line="276" w:lineRule="auto"/>
        <w:ind w:left="567" w:right="567"/>
        <w:jc w:val="both"/>
        <w:rPr>
          <w:rFonts w:ascii="Arial" w:hAnsi="Arial" w:cs="Arial"/>
          <w:lang w:val="en-GB"/>
        </w:rPr>
      </w:pPr>
    </w:p>
    <w:p w:rsidR="00DA26E6" w:rsidRPr="00BC358C" w:rsidRDefault="00DA26E6" w:rsidP="00696066">
      <w:pPr>
        <w:spacing w:after="160" w:line="276" w:lineRule="auto"/>
        <w:ind w:left="567" w:right="567"/>
        <w:contextualSpacing/>
        <w:jc w:val="both"/>
        <w:rPr>
          <w:rFonts w:ascii="Arial" w:hAnsi="Arial" w:cs="Arial"/>
          <w:b/>
          <w:bCs/>
        </w:rPr>
      </w:pPr>
      <w:r w:rsidRPr="00BC358C">
        <w:rPr>
          <w:rFonts w:ascii="Arial" w:hAnsi="Arial" w:cs="Arial"/>
          <w:b/>
          <w:bCs/>
        </w:rPr>
        <w:t>R</w:t>
      </w:r>
      <w:r w:rsidR="00B61130" w:rsidRPr="00BC358C">
        <w:rPr>
          <w:rFonts w:ascii="Arial" w:hAnsi="Arial" w:cs="Arial"/>
          <w:b/>
          <w:bCs/>
        </w:rPr>
        <w:t xml:space="preserve">MB Property Holdco 1 to acquire </w:t>
      </w:r>
      <w:proofErr w:type="spellStart"/>
      <w:r w:rsidR="00B61130" w:rsidRPr="00BC358C">
        <w:rPr>
          <w:rFonts w:ascii="Arial" w:hAnsi="Arial" w:cs="Arial"/>
          <w:b/>
          <w:bCs/>
        </w:rPr>
        <w:t>Makro</w:t>
      </w:r>
      <w:proofErr w:type="spellEnd"/>
      <w:r w:rsidR="00B61130" w:rsidRPr="00BC358C">
        <w:rPr>
          <w:rFonts w:ascii="Arial" w:hAnsi="Arial" w:cs="Arial"/>
          <w:b/>
          <w:bCs/>
        </w:rPr>
        <w:t xml:space="preserve"> Building in Mpumalanga </w:t>
      </w:r>
    </w:p>
    <w:p w:rsidR="00814811" w:rsidRPr="00BC358C" w:rsidRDefault="00814811" w:rsidP="00696066">
      <w:pPr>
        <w:spacing w:line="276" w:lineRule="auto"/>
        <w:ind w:left="567" w:right="567"/>
        <w:jc w:val="both"/>
        <w:rPr>
          <w:rFonts w:ascii="Arial" w:hAnsi="Arial" w:cs="Arial"/>
        </w:rPr>
      </w:pPr>
    </w:p>
    <w:p w:rsidR="00814811" w:rsidRDefault="00DC340A" w:rsidP="00696066">
      <w:pPr>
        <w:spacing w:line="276" w:lineRule="auto"/>
        <w:ind w:left="567" w:right="567"/>
        <w:jc w:val="both"/>
        <w:rPr>
          <w:rFonts w:ascii="Arial" w:hAnsi="Arial" w:cs="Arial"/>
        </w:rPr>
      </w:pPr>
      <w:r>
        <w:rPr>
          <w:rFonts w:ascii="Arial" w:hAnsi="Arial" w:cs="Arial"/>
        </w:rPr>
        <w:t xml:space="preserve">The Tribunal has unconditionally </w:t>
      </w:r>
      <w:r w:rsidR="00BC358C">
        <w:rPr>
          <w:rFonts w:ascii="Arial" w:hAnsi="Arial" w:cs="Arial"/>
        </w:rPr>
        <w:t xml:space="preserve">approved </w:t>
      </w:r>
      <w:r w:rsidR="00DA26E6" w:rsidRPr="00BC358C">
        <w:rPr>
          <w:rFonts w:ascii="Arial" w:hAnsi="Arial" w:cs="Arial"/>
        </w:rPr>
        <w:t xml:space="preserve">RMB Property Holdco 1 Proprietary Limited (RMBPH1) </w:t>
      </w:r>
      <w:r>
        <w:rPr>
          <w:rFonts w:ascii="Arial" w:hAnsi="Arial" w:cs="Arial"/>
        </w:rPr>
        <w:t xml:space="preserve">merger </w:t>
      </w:r>
      <w:r w:rsidR="00BC358C">
        <w:rPr>
          <w:rFonts w:ascii="Arial" w:hAnsi="Arial" w:cs="Arial"/>
        </w:rPr>
        <w:t>with</w:t>
      </w:r>
      <w:r w:rsidR="00DA26E6" w:rsidRPr="00BC358C">
        <w:rPr>
          <w:rFonts w:ascii="Arial" w:hAnsi="Arial" w:cs="Arial"/>
        </w:rPr>
        <w:t xml:space="preserve"> </w:t>
      </w:r>
      <w:proofErr w:type="spellStart"/>
      <w:r w:rsidR="00DA26E6" w:rsidRPr="00BC358C">
        <w:rPr>
          <w:rFonts w:ascii="Arial" w:hAnsi="Arial" w:cs="Arial"/>
        </w:rPr>
        <w:t>Celasy</w:t>
      </w:r>
      <w:r>
        <w:rPr>
          <w:rFonts w:ascii="Arial" w:hAnsi="Arial" w:cs="Arial"/>
        </w:rPr>
        <w:t>s</w:t>
      </w:r>
      <w:proofErr w:type="spellEnd"/>
      <w:r>
        <w:rPr>
          <w:rFonts w:ascii="Arial" w:hAnsi="Arial" w:cs="Arial"/>
        </w:rPr>
        <w:t xml:space="preserve"> Proprietary Limited (</w:t>
      </w:r>
      <w:proofErr w:type="spellStart"/>
      <w:r>
        <w:rPr>
          <w:rFonts w:ascii="Arial" w:hAnsi="Arial" w:cs="Arial"/>
        </w:rPr>
        <w:t>Celasys</w:t>
      </w:r>
      <w:proofErr w:type="spellEnd"/>
      <w:r>
        <w:rPr>
          <w:rFonts w:ascii="Arial" w:hAnsi="Arial" w:cs="Arial"/>
        </w:rPr>
        <w:t xml:space="preserve">). </w:t>
      </w:r>
      <w:proofErr w:type="spellStart"/>
      <w:proofErr w:type="gramStart"/>
      <w:r>
        <w:rPr>
          <w:rFonts w:ascii="Arial" w:hAnsi="Arial" w:cs="Arial"/>
        </w:rPr>
        <w:t>Celasys</w:t>
      </w:r>
      <w:proofErr w:type="spellEnd"/>
      <w:r>
        <w:rPr>
          <w:rFonts w:ascii="Arial" w:hAnsi="Arial" w:cs="Arial"/>
        </w:rPr>
        <w:t xml:space="preserve"> </w:t>
      </w:r>
      <w:r w:rsidR="00B61130" w:rsidRPr="00BC358C">
        <w:rPr>
          <w:rFonts w:ascii="Arial" w:hAnsi="Arial" w:cs="Arial"/>
        </w:rPr>
        <w:t xml:space="preserve"> only</w:t>
      </w:r>
      <w:proofErr w:type="gramEnd"/>
      <w:r w:rsidR="00B61130" w:rsidRPr="00BC358C">
        <w:rPr>
          <w:rFonts w:ascii="Arial" w:hAnsi="Arial" w:cs="Arial"/>
        </w:rPr>
        <w:t xml:space="preserve"> asset being a Makro building</w:t>
      </w:r>
      <w:r w:rsidR="00814811" w:rsidRPr="00BC358C">
        <w:rPr>
          <w:rFonts w:ascii="Arial" w:hAnsi="Arial" w:cs="Arial"/>
        </w:rPr>
        <w:t xml:space="preserve">. </w:t>
      </w:r>
    </w:p>
    <w:p w:rsidR="00DC340A" w:rsidRPr="00BC358C" w:rsidRDefault="00DC340A" w:rsidP="00696066">
      <w:pPr>
        <w:spacing w:line="276" w:lineRule="auto"/>
        <w:ind w:left="567" w:right="567"/>
        <w:jc w:val="both"/>
        <w:rPr>
          <w:rFonts w:ascii="Arial" w:hAnsi="Arial" w:cs="Arial"/>
        </w:rPr>
      </w:pPr>
    </w:p>
    <w:p w:rsidR="00814811" w:rsidRPr="00BC358C" w:rsidRDefault="00B61130" w:rsidP="00696066">
      <w:pPr>
        <w:spacing w:line="276" w:lineRule="auto"/>
        <w:ind w:left="567" w:right="567"/>
        <w:jc w:val="both"/>
        <w:rPr>
          <w:rFonts w:ascii="Arial" w:hAnsi="Arial" w:cs="Arial"/>
          <w:lang w:val="en-GB"/>
        </w:rPr>
      </w:pPr>
      <w:r w:rsidRPr="00BC358C">
        <w:rPr>
          <w:rFonts w:ascii="Arial" w:hAnsi="Arial" w:cs="Arial"/>
          <w:lang w:val="en-GB"/>
        </w:rPr>
        <w:t xml:space="preserve">The primary target firm </w:t>
      </w:r>
      <w:r w:rsidR="00814811" w:rsidRPr="00BC358C">
        <w:rPr>
          <w:rFonts w:ascii="Arial" w:hAnsi="Arial" w:cs="Arial"/>
          <w:lang w:val="en-GB"/>
        </w:rPr>
        <w:t xml:space="preserve">Celasys, </w:t>
      </w:r>
      <w:r w:rsidRPr="00BC358C">
        <w:rPr>
          <w:rFonts w:ascii="Arial" w:hAnsi="Arial" w:cs="Arial"/>
          <w:lang w:val="en-GB"/>
        </w:rPr>
        <w:t xml:space="preserve">is a South African firm </w:t>
      </w:r>
      <w:r w:rsidR="00814811" w:rsidRPr="00BC358C">
        <w:rPr>
          <w:rFonts w:ascii="Arial" w:hAnsi="Arial" w:cs="Arial"/>
          <w:lang w:val="en-GB"/>
        </w:rPr>
        <w:t xml:space="preserve">wholly owned by Eris Property Fund Proprietary Limited. </w:t>
      </w:r>
      <w:r w:rsidR="00696066" w:rsidRPr="00BC358C">
        <w:rPr>
          <w:rFonts w:ascii="Arial" w:hAnsi="Arial" w:cs="Arial"/>
          <w:lang w:val="en-GB"/>
        </w:rPr>
        <w:t xml:space="preserve">The </w:t>
      </w:r>
      <w:r w:rsidR="00814811" w:rsidRPr="00BC358C">
        <w:rPr>
          <w:rFonts w:ascii="Arial" w:hAnsi="Arial" w:cs="Arial"/>
          <w:lang w:val="en-GB"/>
        </w:rPr>
        <w:t>Makro building (target property)</w:t>
      </w:r>
      <w:r w:rsidR="00696066" w:rsidRPr="00BC358C">
        <w:rPr>
          <w:rFonts w:ascii="Arial" w:hAnsi="Arial" w:cs="Arial"/>
          <w:lang w:val="en-GB"/>
        </w:rPr>
        <w:t xml:space="preserve"> is situated</w:t>
      </w:r>
      <w:r w:rsidR="00814811" w:rsidRPr="00BC358C">
        <w:rPr>
          <w:rFonts w:ascii="Arial" w:hAnsi="Arial" w:cs="Arial"/>
          <w:lang w:val="en-GB"/>
        </w:rPr>
        <w:t xml:space="preserve"> in Nelspruit, Mpumalanga province. The target property is subject to a long-term triple net lease with Masstores Proprietary Limited. </w:t>
      </w:r>
    </w:p>
    <w:p w:rsidR="00814811" w:rsidRPr="00BC358C" w:rsidRDefault="00814811" w:rsidP="00696066">
      <w:pPr>
        <w:spacing w:line="276" w:lineRule="auto"/>
        <w:ind w:left="567" w:right="567"/>
        <w:jc w:val="both"/>
        <w:rPr>
          <w:rFonts w:ascii="Arial" w:hAnsi="Arial" w:cs="Arial"/>
          <w:lang w:val="en-GB"/>
        </w:rPr>
      </w:pPr>
    </w:p>
    <w:p w:rsidR="00DA26E6" w:rsidRPr="00BC358C" w:rsidRDefault="00814811" w:rsidP="00696066">
      <w:pPr>
        <w:spacing w:line="276" w:lineRule="auto"/>
        <w:ind w:left="567" w:right="567"/>
        <w:jc w:val="both"/>
        <w:rPr>
          <w:rFonts w:ascii="Arial" w:hAnsi="Arial" w:cs="Arial"/>
          <w:lang w:val="en-GB"/>
        </w:rPr>
      </w:pPr>
      <w:r w:rsidRPr="00BC358C">
        <w:rPr>
          <w:rFonts w:ascii="Arial" w:hAnsi="Arial" w:cs="Arial"/>
        </w:rPr>
        <w:t xml:space="preserve">Acquiring firm </w:t>
      </w:r>
      <w:r w:rsidR="00DA26E6" w:rsidRPr="00BC358C">
        <w:rPr>
          <w:rFonts w:ascii="Arial" w:hAnsi="Arial" w:cs="Arial"/>
          <w:lang w:val="en-GB"/>
        </w:rPr>
        <w:t xml:space="preserve">RMBPH1 is a South African firm that is ultimately controlled by FirstRand Limited. RMBPH1 holds investments in various firms, none of which compete with the activities of the target firm. In addition, RMBPH1 confirmed that no entity within the FirstRand Group owns any warehouse type retail space in the Nelspruit area in competition with the target firm. </w:t>
      </w:r>
    </w:p>
    <w:p w:rsidR="00B61130" w:rsidRPr="00BC358C" w:rsidRDefault="00B61130" w:rsidP="00696066">
      <w:pPr>
        <w:spacing w:line="276" w:lineRule="auto"/>
        <w:ind w:left="567" w:right="567"/>
        <w:jc w:val="both"/>
        <w:rPr>
          <w:rFonts w:ascii="Arial" w:hAnsi="Arial" w:cs="Arial"/>
          <w:lang w:val="en-GB"/>
        </w:rPr>
      </w:pPr>
    </w:p>
    <w:p w:rsidR="00B61130" w:rsidRPr="00BC358C" w:rsidRDefault="00B61130" w:rsidP="00696066">
      <w:pPr>
        <w:ind w:left="567" w:right="567"/>
        <w:jc w:val="both"/>
        <w:rPr>
          <w:rFonts w:ascii="Arial" w:hAnsi="Arial" w:cs="Arial"/>
          <w:lang w:eastAsia="en-ZA"/>
        </w:rPr>
      </w:pPr>
      <w:r w:rsidRPr="00BC358C">
        <w:rPr>
          <w:rFonts w:ascii="Arial" w:hAnsi="Arial" w:cs="Arial"/>
          <w:color w:val="000000"/>
          <w:lang w:eastAsia="en-ZA"/>
        </w:rPr>
        <w:t xml:space="preserve">Issued by: </w:t>
      </w:r>
    </w:p>
    <w:p w:rsidR="00B61130" w:rsidRPr="00BC358C" w:rsidRDefault="00B61130" w:rsidP="00696066">
      <w:pPr>
        <w:ind w:left="567" w:right="567"/>
        <w:jc w:val="both"/>
        <w:rPr>
          <w:rFonts w:ascii="Arial" w:hAnsi="Arial" w:cs="Arial"/>
          <w:color w:val="000000"/>
          <w:lang w:eastAsia="en-ZA"/>
        </w:rPr>
      </w:pPr>
      <w:r w:rsidRPr="00BC358C">
        <w:rPr>
          <w:rFonts w:ascii="Arial" w:hAnsi="Arial" w:cs="Arial"/>
          <w:color w:val="000000"/>
          <w:lang w:eastAsia="en-ZA"/>
        </w:rPr>
        <w:t xml:space="preserve">Chantelle Benjamin </w:t>
      </w:r>
    </w:p>
    <w:p w:rsidR="00B61130" w:rsidRPr="00BC358C" w:rsidRDefault="00B61130" w:rsidP="00696066">
      <w:pPr>
        <w:ind w:left="567" w:right="567"/>
        <w:jc w:val="both"/>
        <w:rPr>
          <w:rFonts w:ascii="Arial" w:hAnsi="Arial" w:cs="Arial"/>
          <w:color w:val="000000"/>
          <w:lang w:eastAsia="en-ZA"/>
        </w:rPr>
      </w:pPr>
      <w:r w:rsidRPr="00BC358C">
        <w:rPr>
          <w:rFonts w:ascii="Arial" w:hAnsi="Arial" w:cs="Arial"/>
          <w:color w:val="000000"/>
          <w:lang w:eastAsia="en-ZA"/>
        </w:rPr>
        <w:t>Communications: Competition Tribunal   </w:t>
      </w:r>
    </w:p>
    <w:p w:rsidR="00B61130" w:rsidRPr="00BC358C" w:rsidRDefault="00B61130" w:rsidP="00696066">
      <w:pPr>
        <w:ind w:left="567" w:right="567"/>
        <w:jc w:val="both"/>
        <w:rPr>
          <w:rFonts w:ascii="Arial" w:hAnsi="Arial" w:cs="Arial"/>
          <w:color w:val="000000"/>
          <w:lang w:eastAsia="en-ZA"/>
        </w:rPr>
      </w:pPr>
      <w:r w:rsidRPr="00BC358C">
        <w:rPr>
          <w:rFonts w:ascii="Arial" w:hAnsi="Arial" w:cs="Arial"/>
          <w:color w:val="000000"/>
          <w:lang w:eastAsia="en-ZA"/>
        </w:rPr>
        <w:t xml:space="preserve">Tel (012)394 1383                                      </w:t>
      </w:r>
    </w:p>
    <w:p w:rsidR="00B61130" w:rsidRPr="00BC358C" w:rsidRDefault="00B61130" w:rsidP="00696066">
      <w:pPr>
        <w:ind w:left="567" w:right="567"/>
        <w:jc w:val="both"/>
        <w:rPr>
          <w:rFonts w:ascii="Arial" w:hAnsi="Arial" w:cs="Arial"/>
          <w:color w:val="000000"/>
          <w:lang w:eastAsia="en-ZA"/>
        </w:rPr>
      </w:pPr>
      <w:r w:rsidRPr="00BC358C">
        <w:rPr>
          <w:rFonts w:ascii="Arial" w:hAnsi="Arial" w:cs="Arial"/>
          <w:color w:val="000000"/>
          <w:lang w:eastAsia="en-ZA"/>
        </w:rPr>
        <w:t>Cell: +27 (0) 73 007 5603  </w:t>
      </w:r>
    </w:p>
    <w:p w:rsidR="00B61130" w:rsidRPr="00BC358C" w:rsidRDefault="00B61130" w:rsidP="00696066">
      <w:pPr>
        <w:ind w:left="567" w:right="567"/>
        <w:jc w:val="both"/>
        <w:rPr>
          <w:rFonts w:ascii="Arial" w:hAnsi="Arial" w:cs="Arial"/>
          <w:lang w:eastAsia="en-ZA"/>
        </w:rPr>
      </w:pPr>
      <w:r w:rsidRPr="00BC358C">
        <w:rPr>
          <w:rFonts w:ascii="Arial" w:hAnsi="Arial" w:cs="Arial"/>
          <w:color w:val="000000"/>
          <w:lang w:eastAsia="en-ZA"/>
        </w:rPr>
        <w:t xml:space="preserve">Twitter: @comptrib                                        </w:t>
      </w:r>
    </w:p>
    <w:p w:rsidR="00B61130" w:rsidRPr="00BC358C" w:rsidRDefault="00B61130" w:rsidP="00696066">
      <w:pPr>
        <w:ind w:left="567" w:right="567"/>
        <w:jc w:val="both"/>
        <w:rPr>
          <w:rFonts w:ascii="Arial" w:hAnsi="Arial" w:cs="Arial"/>
        </w:rPr>
      </w:pPr>
      <w:r w:rsidRPr="00BC358C">
        <w:rPr>
          <w:rFonts w:ascii="Arial" w:hAnsi="Arial" w:cs="Arial"/>
          <w:color w:val="000000"/>
          <w:lang w:eastAsia="en-ZA"/>
        </w:rPr>
        <w:t xml:space="preserve">E-Mail: </w:t>
      </w:r>
      <w:hyperlink r:id="rId6" w:history="1">
        <w:r w:rsidRPr="00BC358C">
          <w:rPr>
            <w:rStyle w:val="Hyperlink"/>
            <w:rFonts w:ascii="Arial" w:hAnsi="Arial" w:cs="Arial"/>
            <w:lang w:eastAsia="en-ZA"/>
          </w:rPr>
          <w:t>chantelleb@comptrib.co.za</w:t>
        </w:r>
      </w:hyperlink>
      <w:r w:rsidRPr="00BC358C">
        <w:rPr>
          <w:rFonts w:ascii="Arial" w:hAnsi="Arial" w:cs="Arial"/>
        </w:rPr>
        <w:t xml:space="preserve"> </w:t>
      </w:r>
    </w:p>
    <w:p w:rsidR="00B61130" w:rsidRPr="00BC358C" w:rsidRDefault="00B61130" w:rsidP="00696066">
      <w:pPr>
        <w:ind w:left="567" w:right="567"/>
        <w:jc w:val="both"/>
        <w:rPr>
          <w:rFonts w:ascii="Arial" w:hAnsi="Arial" w:cs="Arial"/>
          <w:color w:val="000000"/>
        </w:rPr>
      </w:pPr>
    </w:p>
    <w:p w:rsidR="00B61130" w:rsidRPr="00BC358C" w:rsidRDefault="00B61130" w:rsidP="00696066">
      <w:pPr>
        <w:ind w:left="567" w:right="567"/>
        <w:jc w:val="both"/>
        <w:rPr>
          <w:rFonts w:ascii="Arial" w:hAnsi="Arial" w:cs="Arial"/>
          <w:color w:val="000000"/>
        </w:rPr>
      </w:pPr>
    </w:p>
    <w:p w:rsidR="00B61130" w:rsidRPr="00BC358C" w:rsidRDefault="00B61130" w:rsidP="00696066">
      <w:pPr>
        <w:ind w:left="567" w:right="567"/>
        <w:jc w:val="both"/>
        <w:rPr>
          <w:rFonts w:ascii="Arial" w:hAnsi="Arial" w:cs="Arial"/>
          <w:lang w:eastAsia="en-ZA"/>
        </w:rPr>
      </w:pPr>
      <w:r w:rsidRPr="00BC358C">
        <w:rPr>
          <w:rFonts w:ascii="Arial" w:hAnsi="Arial" w:cs="Arial"/>
          <w:color w:val="000000"/>
          <w:lang w:eastAsia="en-ZA"/>
        </w:rPr>
        <w:t>On Behalf Of:</w:t>
      </w:r>
    </w:p>
    <w:p w:rsidR="00B61130" w:rsidRPr="00BC358C" w:rsidRDefault="00B61130" w:rsidP="00696066">
      <w:pPr>
        <w:ind w:left="567" w:right="567"/>
        <w:jc w:val="both"/>
        <w:rPr>
          <w:rFonts w:ascii="Arial" w:hAnsi="Arial" w:cs="Arial"/>
          <w:lang w:eastAsia="en-ZA"/>
        </w:rPr>
      </w:pPr>
      <w:r w:rsidRPr="00BC358C">
        <w:rPr>
          <w:rFonts w:ascii="Arial" w:hAnsi="Arial" w:cs="Arial"/>
          <w:color w:val="000000"/>
          <w:lang w:eastAsia="en-ZA"/>
        </w:rPr>
        <w:t>Lerato Motaung                                                   </w:t>
      </w:r>
    </w:p>
    <w:p w:rsidR="00B61130" w:rsidRPr="00BC358C" w:rsidRDefault="00B61130" w:rsidP="00696066">
      <w:pPr>
        <w:ind w:left="567" w:right="567"/>
        <w:jc w:val="both"/>
        <w:rPr>
          <w:rFonts w:ascii="Arial" w:hAnsi="Arial" w:cs="Arial"/>
          <w:lang w:eastAsia="en-ZA"/>
        </w:rPr>
      </w:pPr>
      <w:r w:rsidRPr="00BC358C">
        <w:rPr>
          <w:rFonts w:ascii="Arial" w:hAnsi="Arial" w:cs="Arial"/>
          <w:color w:val="000000"/>
          <w:lang w:eastAsia="en-ZA"/>
        </w:rPr>
        <w:t xml:space="preserve">Registrar: Competition Tribunal                                         </w:t>
      </w:r>
    </w:p>
    <w:p w:rsidR="00B61130" w:rsidRPr="00BC358C" w:rsidRDefault="00B61130" w:rsidP="00696066">
      <w:pPr>
        <w:ind w:left="567" w:right="567"/>
        <w:jc w:val="both"/>
        <w:rPr>
          <w:rFonts w:ascii="Arial" w:hAnsi="Arial" w:cs="Arial"/>
          <w:lang w:eastAsia="en-ZA"/>
        </w:rPr>
      </w:pPr>
      <w:r w:rsidRPr="00BC358C">
        <w:rPr>
          <w:rFonts w:ascii="Arial" w:hAnsi="Arial" w:cs="Arial"/>
          <w:color w:val="000000"/>
          <w:lang w:eastAsia="en-ZA"/>
        </w:rPr>
        <w:t xml:space="preserve">Tel: (012) 394 3355                                              </w:t>
      </w:r>
    </w:p>
    <w:p w:rsidR="00B61130" w:rsidRPr="00BC358C" w:rsidRDefault="00B61130" w:rsidP="00696066">
      <w:pPr>
        <w:ind w:left="567" w:right="567"/>
        <w:jc w:val="both"/>
        <w:rPr>
          <w:rFonts w:ascii="Arial" w:hAnsi="Arial" w:cs="Arial"/>
          <w:lang w:eastAsia="en-ZA"/>
        </w:rPr>
      </w:pPr>
      <w:r w:rsidRPr="00BC358C">
        <w:rPr>
          <w:rFonts w:ascii="Arial" w:hAnsi="Arial" w:cs="Arial"/>
          <w:color w:val="000000"/>
          <w:lang w:eastAsia="en-ZA"/>
        </w:rPr>
        <w:t xml:space="preserve">Cell: +27 (0) 82 556 3221                                               </w:t>
      </w:r>
    </w:p>
    <w:p w:rsidR="00B61130" w:rsidRPr="00BC358C" w:rsidRDefault="00B61130" w:rsidP="00696066">
      <w:pPr>
        <w:ind w:left="567" w:right="567"/>
        <w:jc w:val="both"/>
        <w:rPr>
          <w:rFonts w:ascii="Arial" w:hAnsi="Arial" w:cs="Arial"/>
        </w:rPr>
      </w:pPr>
      <w:r w:rsidRPr="00BC358C">
        <w:rPr>
          <w:rFonts w:ascii="Arial" w:hAnsi="Arial" w:cs="Arial"/>
          <w:color w:val="000000"/>
          <w:lang w:eastAsia="en-ZA"/>
        </w:rPr>
        <w:t xml:space="preserve">E-Mail: </w:t>
      </w:r>
      <w:hyperlink r:id="rId7" w:history="1">
        <w:r w:rsidRPr="00BC358C">
          <w:rPr>
            <w:rStyle w:val="Hyperlink"/>
            <w:rFonts w:ascii="Arial" w:hAnsi="Arial" w:cs="Arial"/>
            <w:lang w:eastAsia="en-ZA"/>
          </w:rPr>
          <w:t>LeratoM@comptrib.co.za</w:t>
        </w:r>
      </w:hyperlink>
    </w:p>
    <w:p w:rsidR="00B61130" w:rsidRDefault="00B61130" w:rsidP="00696066">
      <w:pPr>
        <w:spacing w:line="276" w:lineRule="auto"/>
        <w:ind w:left="567" w:right="567"/>
        <w:jc w:val="both"/>
        <w:rPr>
          <w:rFonts w:ascii="Arial" w:hAnsi="Arial" w:cs="Arial"/>
          <w:lang w:val="en-GB"/>
        </w:rPr>
      </w:pPr>
    </w:p>
    <w:p w:rsidR="00DA26E6" w:rsidRDefault="00DA26E6" w:rsidP="00696066">
      <w:pPr>
        <w:spacing w:line="276" w:lineRule="auto"/>
        <w:ind w:left="567" w:right="567"/>
        <w:jc w:val="both"/>
        <w:rPr>
          <w:rFonts w:ascii="Arial" w:hAnsi="Arial" w:cs="Arial"/>
          <w:lang w:val="en-GB"/>
        </w:rPr>
      </w:pPr>
    </w:p>
    <w:p w:rsidR="00DA26E6" w:rsidRDefault="00DA26E6" w:rsidP="00696066">
      <w:pPr>
        <w:ind w:left="567" w:right="567"/>
      </w:pPr>
    </w:p>
    <w:sectPr w:rsidR="00DA26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0E7D3D"/>
    <w:multiLevelType w:val="multilevel"/>
    <w:tmpl w:val="11AA0B2A"/>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E6"/>
    <w:rsid w:val="00120CB9"/>
    <w:rsid w:val="003621CC"/>
    <w:rsid w:val="003C165A"/>
    <w:rsid w:val="00482491"/>
    <w:rsid w:val="00696066"/>
    <w:rsid w:val="00814811"/>
    <w:rsid w:val="00B61130"/>
    <w:rsid w:val="00BC358C"/>
    <w:rsid w:val="00DA26E6"/>
    <w:rsid w:val="00DC34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6EA7C-2534-42C1-9C7E-9C203DC7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6E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C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20CB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20C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836646">
      <w:bodyDiv w:val="1"/>
      <w:marLeft w:val="0"/>
      <w:marRight w:val="0"/>
      <w:marTop w:val="0"/>
      <w:marBottom w:val="0"/>
      <w:divBdr>
        <w:top w:val="none" w:sz="0" w:space="0" w:color="auto"/>
        <w:left w:val="none" w:sz="0" w:space="0" w:color="auto"/>
        <w:bottom w:val="none" w:sz="0" w:space="0" w:color="auto"/>
        <w:right w:val="none" w:sz="0" w:space="0" w:color="auto"/>
      </w:divBdr>
    </w:div>
    <w:div w:id="212161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2</cp:revision>
  <dcterms:created xsi:type="dcterms:W3CDTF">2017-11-08T14:15:00Z</dcterms:created>
  <dcterms:modified xsi:type="dcterms:W3CDTF">2017-11-08T14:15:00Z</dcterms:modified>
</cp:coreProperties>
</file>