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05" w:rsidRPr="00B72C05" w:rsidRDefault="00B72C05" w:rsidP="00B72C05">
      <w:pPr>
        <w:spacing w:before="240" w:after="200" w:line="240" w:lineRule="auto"/>
        <w:ind w:left="567" w:right="567"/>
        <w:jc w:val="center"/>
        <w:rPr>
          <w:rFonts w:ascii="Arial" w:hAnsi="Arial" w:cs="Arial"/>
          <w:b/>
        </w:rPr>
      </w:pPr>
      <w:r w:rsidRPr="00B72C05">
        <w:rPr>
          <w:rFonts w:ascii="Arial" w:hAnsi="Arial" w:cs="Arial"/>
          <w:b/>
          <w:noProof/>
        </w:rPr>
        <w:drawing>
          <wp:inline distT="0" distB="0" distL="0" distR="0" wp14:anchorId="4E69D700" wp14:editId="4D6A022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B72C05" w:rsidRPr="00B72C05" w:rsidRDefault="00B72C05" w:rsidP="00B72C05">
      <w:pPr>
        <w:spacing w:before="240" w:after="200" w:line="240" w:lineRule="auto"/>
        <w:ind w:left="567" w:right="567"/>
        <w:jc w:val="right"/>
        <w:rPr>
          <w:rFonts w:ascii="Arial" w:hAnsi="Arial" w:cs="Arial"/>
          <w:b/>
        </w:rPr>
      </w:pPr>
      <w:r w:rsidRPr="00B72C05">
        <w:rPr>
          <w:rFonts w:ascii="Arial" w:hAnsi="Arial" w:cs="Arial"/>
          <w:b/>
        </w:rPr>
        <w:t>16 October, 2017</w:t>
      </w:r>
    </w:p>
    <w:p w:rsidR="00B72C05" w:rsidRPr="00B72C05" w:rsidRDefault="00B72C05" w:rsidP="00B72C05">
      <w:pPr>
        <w:spacing w:before="240" w:after="200" w:line="240" w:lineRule="auto"/>
        <w:ind w:left="567" w:right="567"/>
        <w:jc w:val="both"/>
        <w:rPr>
          <w:rFonts w:ascii="Arial" w:hAnsi="Arial" w:cs="Arial"/>
          <w:b/>
        </w:rPr>
      </w:pPr>
      <w:r w:rsidRPr="00B72C05">
        <w:rPr>
          <w:rFonts w:ascii="Arial" w:hAnsi="Arial" w:cs="Arial"/>
          <w:b/>
        </w:rPr>
        <w:t>The Tribunal dismisse</w:t>
      </w:r>
      <w:r>
        <w:rPr>
          <w:rFonts w:ascii="Arial" w:hAnsi="Arial" w:cs="Arial"/>
          <w:b/>
        </w:rPr>
        <w:t>s</w:t>
      </w:r>
      <w:r w:rsidRPr="00B72C05">
        <w:rPr>
          <w:rFonts w:ascii="Arial" w:hAnsi="Arial" w:cs="Arial"/>
          <w:b/>
        </w:rPr>
        <w:t xml:space="preserve"> two applications </w:t>
      </w:r>
      <w:r w:rsidRPr="00B72C05">
        <w:rPr>
          <w:rFonts w:ascii="Arial" w:hAnsi="Arial" w:cs="Arial"/>
          <w:b/>
        </w:rPr>
        <w:t xml:space="preserve">by tyre manufactures, </w:t>
      </w:r>
      <w:r w:rsidRPr="00B72C05">
        <w:rPr>
          <w:rFonts w:ascii="Arial" w:hAnsi="Arial" w:cs="Arial"/>
          <w:b/>
        </w:rPr>
        <w:t xml:space="preserve">with the exception </w:t>
      </w:r>
      <w:r w:rsidR="00983228">
        <w:rPr>
          <w:rFonts w:ascii="Arial" w:hAnsi="Arial" w:cs="Arial"/>
          <w:b/>
        </w:rPr>
        <w:t xml:space="preserve">of the provision of a </w:t>
      </w:r>
      <w:r>
        <w:rPr>
          <w:rFonts w:ascii="Arial" w:hAnsi="Arial" w:cs="Arial"/>
          <w:b/>
        </w:rPr>
        <w:t>transcript</w:t>
      </w:r>
      <w:r w:rsidR="00983228">
        <w:rPr>
          <w:rFonts w:ascii="Arial" w:hAnsi="Arial" w:cs="Arial"/>
          <w:b/>
        </w:rPr>
        <w:t xml:space="preserve"> for Goodyear</w:t>
      </w:r>
    </w:p>
    <w:p w:rsidR="009B45DD" w:rsidRPr="00B72C05" w:rsidRDefault="00BF7625" w:rsidP="00B72C05">
      <w:pPr>
        <w:spacing w:before="240" w:after="200" w:line="240" w:lineRule="auto"/>
        <w:ind w:left="567" w:right="567"/>
        <w:jc w:val="both"/>
        <w:rPr>
          <w:rFonts w:ascii="Arial" w:hAnsi="Arial" w:cs="Arial"/>
        </w:rPr>
      </w:pPr>
      <w:r w:rsidRPr="00B72C05">
        <w:rPr>
          <w:rFonts w:ascii="Arial" w:hAnsi="Arial" w:cs="Arial"/>
        </w:rPr>
        <w:t xml:space="preserve">The Competition Tribunal </w:t>
      </w:r>
      <w:r w:rsidR="005C72B6" w:rsidRPr="00B72C05">
        <w:rPr>
          <w:rFonts w:ascii="Arial" w:hAnsi="Arial" w:cs="Arial"/>
        </w:rPr>
        <w:t>decided on applications by two tyre manufacture</w:t>
      </w:r>
      <w:r w:rsidR="00D55108" w:rsidRPr="00B72C05">
        <w:rPr>
          <w:rFonts w:ascii="Arial" w:hAnsi="Arial" w:cs="Arial"/>
        </w:rPr>
        <w:t>r</w:t>
      </w:r>
      <w:r w:rsidR="005C72B6" w:rsidRPr="00B72C05">
        <w:rPr>
          <w:rFonts w:ascii="Arial" w:hAnsi="Arial" w:cs="Arial"/>
        </w:rPr>
        <w:t>s</w:t>
      </w:r>
      <w:r w:rsidR="009B45DD" w:rsidRPr="00B72C05">
        <w:rPr>
          <w:rFonts w:ascii="Arial" w:hAnsi="Arial" w:cs="Arial"/>
        </w:rPr>
        <w:t xml:space="preserve"> facing price fixing charges</w:t>
      </w:r>
      <w:r w:rsidR="004D0F55" w:rsidRPr="00B72C05">
        <w:rPr>
          <w:rFonts w:ascii="Arial" w:hAnsi="Arial" w:cs="Arial"/>
        </w:rPr>
        <w:t xml:space="preserve">. The Tribunal </w:t>
      </w:r>
      <w:r w:rsidR="009B45DD" w:rsidRPr="00B72C05">
        <w:rPr>
          <w:rFonts w:ascii="Arial" w:hAnsi="Arial" w:cs="Arial"/>
        </w:rPr>
        <w:t>dismiss</w:t>
      </w:r>
      <w:r w:rsidR="004D0F55" w:rsidRPr="00B72C05">
        <w:rPr>
          <w:rFonts w:ascii="Arial" w:hAnsi="Arial" w:cs="Arial"/>
        </w:rPr>
        <w:t>ed</w:t>
      </w:r>
      <w:r w:rsidR="009B45DD" w:rsidRPr="00B72C05">
        <w:rPr>
          <w:rFonts w:ascii="Arial" w:hAnsi="Arial" w:cs="Arial"/>
        </w:rPr>
        <w:t xml:space="preserve"> </w:t>
      </w:r>
      <w:r w:rsidR="004D0F55" w:rsidRPr="00B72C05">
        <w:rPr>
          <w:rFonts w:ascii="Arial" w:hAnsi="Arial" w:cs="Arial"/>
        </w:rPr>
        <w:t>the</w:t>
      </w:r>
      <w:r w:rsidR="009B45DD" w:rsidRPr="00B72C05">
        <w:rPr>
          <w:rFonts w:ascii="Arial" w:hAnsi="Arial" w:cs="Arial"/>
        </w:rPr>
        <w:t xml:space="preserve"> application by one of the companies and uph</w:t>
      </w:r>
      <w:r w:rsidR="004D0F55" w:rsidRPr="00B72C05">
        <w:rPr>
          <w:rFonts w:ascii="Arial" w:hAnsi="Arial" w:cs="Arial"/>
        </w:rPr>
        <w:t>eld</w:t>
      </w:r>
      <w:r w:rsidR="009B45DD" w:rsidRPr="00B72C05">
        <w:rPr>
          <w:rFonts w:ascii="Arial" w:hAnsi="Arial" w:cs="Arial"/>
        </w:rPr>
        <w:t xml:space="preserve"> the application of the second only with regards to the handover of a transcript of an interview with a Bridgestone</w:t>
      </w:r>
      <w:r w:rsidR="004D0F55" w:rsidRPr="00B72C05">
        <w:rPr>
          <w:rFonts w:ascii="Arial" w:hAnsi="Arial" w:cs="Arial"/>
        </w:rPr>
        <w:t xml:space="preserve"> South Africa (P</w:t>
      </w:r>
      <w:r w:rsidR="00D55108" w:rsidRPr="00B72C05">
        <w:rPr>
          <w:rFonts w:ascii="Arial" w:hAnsi="Arial" w:cs="Arial"/>
        </w:rPr>
        <w:t>ty) Ltd (“Bridgestone”)</w:t>
      </w:r>
      <w:r w:rsidR="009B45DD" w:rsidRPr="00B72C05">
        <w:rPr>
          <w:rFonts w:ascii="Arial" w:hAnsi="Arial" w:cs="Arial"/>
        </w:rPr>
        <w:t xml:space="preserve"> employee</w:t>
      </w:r>
      <w:r w:rsidR="007B1770" w:rsidRPr="00B72C05">
        <w:rPr>
          <w:rFonts w:ascii="Arial" w:hAnsi="Arial" w:cs="Arial"/>
        </w:rPr>
        <w:t xml:space="preserve"> (“Bridgestone transcript”)</w:t>
      </w:r>
      <w:r w:rsidR="009B45DD" w:rsidRPr="00B72C05">
        <w:rPr>
          <w:rFonts w:ascii="Arial" w:hAnsi="Arial" w:cs="Arial"/>
        </w:rPr>
        <w:t xml:space="preserve">. </w:t>
      </w:r>
    </w:p>
    <w:p w:rsidR="00BF7625" w:rsidRPr="00B72C05" w:rsidRDefault="005C72B6" w:rsidP="00B72C05">
      <w:pPr>
        <w:spacing w:before="240" w:after="200" w:line="240" w:lineRule="auto"/>
        <w:ind w:left="567" w:right="567"/>
        <w:jc w:val="both"/>
        <w:rPr>
          <w:rFonts w:ascii="Arial" w:hAnsi="Arial" w:cs="Arial"/>
        </w:rPr>
      </w:pPr>
      <w:r w:rsidRPr="00B72C05">
        <w:rPr>
          <w:rFonts w:ascii="Arial" w:hAnsi="Arial" w:cs="Arial"/>
        </w:rPr>
        <w:t xml:space="preserve">Continental Tyres requested the production of certain documents of the Commission’s record while Goodyear South Africa asked for further and better discovery. </w:t>
      </w:r>
      <w:r w:rsidR="005B4ADC" w:rsidRPr="00B72C05">
        <w:rPr>
          <w:rFonts w:ascii="Arial" w:hAnsi="Arial" w:cs="Arial"/>
        </w:rPr>
        <w:t xml:space="preserve">Continental’s application was dismissed by the Tribunal while Goodyear was granted only access to </w:t>
      </w:r>
      <w:r w:rsidR="004D0F55" w:rsidRPr="00B72C05">
        <w:rPr>
          <w:rFonts w:ascii="Arial" w:hAnsi="Arial" w:cs="Arial"/>
        </w:rPr>
        <w:t xml:space="preserve">the Bridgestone </w:t>
      </w:r>
      <w:r w:rsidR="005B4ADC" w:rsidRPr="00B72C05">
        <w:rPr>
          <w:rFonts w:ascii="Arial" w:hAnsi="Arial" w:cs="Arial"/>
        </w:rPr>
        <w:t xml:space="preserve">transcript. </w:t>
      </w:r>
    </w:p>
    <w:p w:rsidR="009B45DD" w:rsidRPr="00B72C05" w:rsidRDefault="009B45DD" w:rsidP="00B72C05">
      <w:pPr>
        <w:spacing w:before="240" w:after="200" w:line="240" w:lineRule="auto"/>
        <w:ind w:left="567" w:right="567"/>
        <w:jc w:val="both"/>
        <w:rPr>
          <w:rFonts w:ascii="Arial" w:hAnsi="Arial" w:cs="Arial"/>
        </w:rPr>
      </w:pPr>
      <w:r w:rsidRPr="00B72C05">
        <w:rPr>
          <w:rFonts w:ascii="Arial" w:hAnsi="Arial" w:cs="Arial"/>
        </w:rPr>
        <w:t xml:space="preserve">Continental Tyres is </w:t>
      </w:r>
      <w:r w:rsidR="002F67E1" w:rsidRPr="00B72C05">
        <w:rPr>
          <w:rFonts w:ascii="Arial" w:hAnsi="Arial" w:cs="Arial"/>
        </w:rPr>
        <w:t>the third</w:t>
      </w:r>
      <w:r w:rsidRPr="00B72C05">
        <w:rPr>
          <w:rFonts w:ascii="Arial" w:hAnsi="Arial" w:cs="Arial"/>
        </w:rPr>
        <w:t xml:space="preserve"> res</w:t>
      </w:r>
      <w:r w:rsidR="002F67E1" w:rsidRPr="00B72C05">
        <w:rPr>
          <w:rFonts w:ascii="Arial" w:hAnsi="Arial" w:cs="Arial"/>
        </w:rPr>
        <w:t xml:space="preserve">pondent and Goodyear the second </w:t>
      </w:r>
      <w:r w:rsidRPr="00B72C05">
        <w:rPr>
          <w:rFonts w:ascii="Arial" w:hAnsi="Arial" w:cs="Arial"/>
        </w:rPr>
        <w:t xml:space="preserve">respondent in a price fixing case referred by the Commission </w:t>
      </w:r>
      <w:r w:rsidR="002F67E1" w:rsidRPr="00B72C05">
        <w:rPr>
          <w:rFonts w:ascii="Arial" w:hAnsi="Arial" w:cs="Arial"/>
        </w:rPr>
        <w:t>to the Tribunal on 31 August 2010 against five respondents. Other tyre manufacturers and suppliers are: Apollo Tyres South Africa; Bridgestone South Africa and the South African Tyre Manufacturers Conference (Pty) Ltd</w:t>
      </w:r>
      <w:r w:rsidR="004D0F55" w:rsidRPr="00B72C05">
        <w:rPr>
          <w:rFonts w:ascii="Arial" w:hAnsi="Arial" w:cs="Arial"/>
        </w:rPr>
        <w:t xml:space="preserve"> which is the association</w:t>
      </w:r>
      <w:r w:rsidR="002F67E1" w:rsidRPr="00B72C05">
        <w:rPr>
          <w:rFonts w:ascii="Arial" w:hAnsi="Arial" w:cs="Arial"/>
        </w:rPr>
        <w:t xml:space="preserve">. Bridgestone applied and was granted leniency on 16 October 2009 and the Commission has since settled with Apollo. </w:t>
      </w:r>
    </w:p>
    <w:p w:rsidR="005C72B6" w:rsidRPr="00B72C05" w:rsidRDefault="005C72B6" w:rsidP="00B72C05">
      <w:pPr>
        <w:spacing w:before="240" w:after="200" w:line="240" w:lineRule="auto"/>
        <w:ind w:left="567" w:right="567"/>
        <w:jc w:val="both"/>
        <w:rPr>
          <w:rFonts w:ascii="Arial" w:hAnsi="Arial" w:cs="Arial"/>
        </w:rPr>
      </w:pPr>
      <w:r w:rsidRPr="00B72C05">
        <w:rPr>
          <w:rFonts w:ascii="Arial" w:hAnsi="Arial" w:cs="Arial"/>
        </w:rPr>
        <w:t>The Tribunal</w:t>
      </w:r>
      <w:r w:rsidR="002F67E1" w:rsidRPr="00B72C05">
        <w:rPr>
          <w:rFonts w:ascii="Arial" w:hAnsi="Arial" w:cs="Arial"/>
        </w:rPr>
        <w:t xml:space="preserve"> in its order on Friday, 13 October,</w:t>
      </w:r>
      <w:r w:rsidRPr="00B72C05">
        <w:rPr>
          <w:rFonts w:ascii="Arial" w:hAnsi="Arial" w:cs="Arial"/>
        </w:rPr>
        <w:t xml:space="preserve"> dismissed Goodyear’s application save for a transcript of an interview with Bridgestone employee Shaun Wustman</w:t>
      </w:r>
      <w:r w:rsidR="009B45DD" w:rsidRPr="00B72C05">
        <w:rPr>
          <w:rFonts w:ascii="Arial" w:hAnsi="Arial" w:cs="Arial"/>
        </w:rPr>
        <w:t>n</w:t>
      </w:r>
      <w:r w:rsidRPr="00B72C05">
        <w:rPr>
          <w:rFonts w:ascii="Arial" w:hAnsi="Arial" w:cs="Arial"/>
        </w:rPr>
        <w:t xml:space="preserve">. The interview was conducted shortly before Bridgestone applied for leniency. </w:t>
      </w:r>
      <w:r w:rsidR="006376B4" w:rsidRPr="00B72C05">
        <w:rPr>
          <w:rFonts w:ascii="Arial" w:hAnsi="Arial" w:cs="Arial"/>
        </w:rPr>
        <w:t>The Tribunal held that</w:t>
      </w:r>
      <w:r w:rsidR="009B45DD" w:rsidRPr="00B72C05">
        <w:rPr>
          <w:rFonts w:ascii="Arial" w:hAnsi="Arial" w:cs="Arial"/>
        </w:rPr>
        <w:t xml:space="preserve"> the Commission had waived privilege in term</w:t>
      </w:r>
      <w:r w:rsidR="00D55108" w:rsidRPr="00B72C05">
        <w:rPr>
          <w:rFonts w:ascii="Arial" w:hAnsi="Arial" w:cs="Arial"/>
        </w:rPr>
        <w:t xml:space="preserve">s of the transcript when it was erroneously handed over to </w:t>
      </w:r>
      <w:r w:rsidR="007B1770" w:rsidRPr="00B72C05">
        <w:rPr>
          <w:rFonts w:ascii="Arial" w:hAnsi="Arial" w:cs="Arial"/>
        </w:rPr>
        <w:t>Continental</w:t>
      </w:r>
      <w:r w:rsidR="00D55108" w:rsidRPr="00B72C05">
        <w:rPr>
          <w:rFonts w:ascii="Arial" w:hAnsi="Arial" w:cs="Arial"/>
        </w:rPr>
        <w:t xml:space="preserve"> </w:t>
      </w:r>
      <w:r w:rsidR="007B1770" w:rsidRPr="00B72C05">
        <w:rPr>
          <w:rFonts w:ascii="Arial" w:hAnsi="Arial" w:cs="Arial"/>
        </w:rPr>
        <w:t>through</w:t>
      </w:r>
      <w:r w:rsidR="00D55108" w:rsidRPr="00B72C05">
        <w:rPr>
          <w:rFonts w:ascii="Arial" w:hAnsi="Arial" w:cs="Arial"/>
        </w:rPr>
        <w:t xml:space="preserve"> Bridgestone’s attorneys. </w:t>
      </w:r>
      <w:r w:rsidR="009B45DD" w:rsidRPr="00B72C05">
        <w:rPr>
          <w:rFonts w:ascii="Arial" w:hAnsi="Arial" w:cs="Arial"/>
        </w:rPr>
        <w:t xml:space="preserve">In terms of the order the </w:t>
      </w:r>
      <w:r w:rsidRPr="00B72C05">
        <w:rPr>
          <w:rFonts w:ascii="Arial" w:hAnsi="Arial" w:cs="Arial"/>
        </w:rPr>
        <w:t xml:space="preserve">Commission is required to furnish the transcript to Goodyear within 10 working days. </w:t>
      </w:r>
    </w:p>
    <w:p w:rsidR="002F67E1" w:rsidRPr="00B72C05" w:rsidRDefault="002F67E1" w:rsidP="00B72C05">
      <w:pPr>
        <w:spacing w:before="240" w:after="200" w:line="240" w:lineRule="auto"/>
        <w:ind w:left="567" w:right="567"/>
        <w:jc w:val="both"/>
        <w:rPr>
          <w:rFonts w:ascii="Arial" w:hAnsi="Arial" w:cs="Arial"/>
        </w:rPr>
      </w:pPr>
      <w:r w:rsidRPr="00B72C05">
        <w:rPr>
          <w:rFonts w:ascii="Arial" w:hAnsi="Arial" w:cs="Arial"/>
        </w:rPr>
        <w:t xml:space="preserve">The Tribunal found that the Commission to date had handed over a large number of documents to the respondents which included the corporate leniency application, the annexures thereto, and the documents it seized during a dawn raid on Bridgestone, SATMC and Apollo. The Tribunal said at the time the applications by the two respondents were heard they had knowledge of the categories of documents that the Commission wished to claim as privileged and restricted and also the reasons therefore. </w:t>
      </w:r>
      <w:r w:rsidR="004D0F55" w:rsidRPr="00B72C05">
        <w:rPr>
          <w:rFonts w:ascii="Arial" w:hAnsi="Arial" w:cs="Arial"/>
        </w:rPr>
        <w:t>The Tribunal thus d</w:t>
      </w:r>
      <w:r w:rsidR="00C73C99" w:rsidRPr="00B72C05">
        <w:rPr>
          <w:rFonts w:ascii="Arial" w:hAnsi="Arial" w:cs="Arial"/>
        </w:rPr>
        <w:t xml:space="preserve">ismissed </w:t>
      </w:r>
      <w:r w:rsidR="004D0F55" w:rsidRPr="00B72C05">
        <w:rPr>
          <w:rFonts w:ascii="Arial" w:hAnsi="Arial" w:cs="Arial"/>
        </w:rPr>
        <w:t xml:space="preserve">the </w:t>
      </w:r>
      <w:r w:rsidR="0086003D" w:rsidRPr="00B72C05">
        <w:rPr>
          <w:rFonts w:ascii="Arial" w:hAnsi="Arial" w:cs="Arial"/>
        </w:rPr>
        <w:t>two applications</w:t>
      </w:r>
      <w:r w:rsidR="004D0F55" w:rsidRPr="00B72C05">
        <w:rPr>
          <w:rFonts w:ascii="Arial" w:hAnsi="Arial" w:cs="Arial"/>
        </w:rPr>
        <w:t xml:space="preserve"> with the exception of the Bridgestone transcript. </w:t>
      </w:r>
    </w:p>
    <w:p w:rsidR="00B72C05" w:rsidRPr="00B72C05" w:rsidRDefault="00B72C05" w:rsidP="00B72C05">
      <w:pPr>
        <w:spacing w:after="0" w:line="240" w:lineRule="auto"/>
        <w:ind w:left="567" w:right="567"/>
        <w:jc w:val="both"/>
        <w:rPr>
          <w:rFonts w:ascii="Arial" w:hAnsi="Arial" w:cs="Arial"/>
          <w:lang w:val="en-GB"/>
        </w:rPr>
      </w:pPr>
    </w:p>
    <w:p w:rsidR="00B72C05" w:rsidRPr="00B72C05" w:rsidRDefault="00B72C05" w:rsidP="00B72C05">
      <w:pPr>
        <w:spacing w:after="0" w:line="240" w:lineRule="auto"/>
        <w:ind w:left="567" w:right="567"/>
        <w:jc w:val="both"/>
        <w:rPr>
          <w:rFonts w:ascii="Arial" w:hAnsi="Arial" w:cs="Arial"/>
          <w:lang w:eastAsia="en-ZA"/>
        </w:rPr>
      </w:pPr>
      <w:r w:rsidRPr="00B72C05">
        <w:rPr>
          <w:rFonts w:ascii="Arial" w:hAnsi="Arial" w:cs="Arial"/>
          <w:color w:val="000000"/>
          <w:lang w:eastAsia="en-ZA"/>
        </w:rPr>
        <w:t xml:space="preserve">Issued by: </w:t>
      </w:r>
    </w:p>
    <w:p w:rsidR="00B72C05" w:rsidRPr="00B72C05" w:rsidRDefault="00B72C05" w:rsidP="00B72C05">
      <w:pPr>
        <w:spacing w:after="0" w:line="240" w:lineRule="auto"/>
        <w:ind w:left="567" w:right="567"/>
        <w:jc w:val="both"/>
        <w:rPr>
          <w:rFonts w:ascii="Arial" w:hAnsi="Arial" w:cs="Arial"/>
          <w:color w:val="000000"/>
          <w:lang w:eastAsia="en-ZA"/>
        </w:rPr>
      </w:pPr>
      <w:r w:rsidRPr="00B72C05">
        <w:rPr>
          <w:rFonts w:ascii="Arial" w:hAnsi="Arial" w:cs="Arial"/>
          <w:color w:val="000000"/>
          <w:lang w:eastAsia="en-ZA"/>
        </w:rPr>
        <w:t xml:space="preserve">Chantelle Benjamin </w:t>
      </w:r>
    </w:p>
    <w:p w:rsidR="00B72C05" w:rsidRPr="00B72C05" w:rsidRDefault="00B72C05" w:rsidP="00B72C05">
      <w:pPr>
        <w:spacing w:after="0" w:line="240" w:lineRule="auto"/>
        <w:ind w:left="567" w:right="567"/>
        <w:jc w:val="both"/>
        <w:rPr>
          <w:rFonts w:ascii="Arial" w:hAnsi="Arial" w:cs="Arial"/>
          <w:color w:val="000000"/>
          <w:lang w:eastAsia="en-ZA"/>
        </w:rPr>
      </w:pPr>
      <w:r w:rsidRPr="00B72C05">
        <w:rPr>
          <w:rFonts w:ascii="Arial" w:hAnsi="Arial" w:cs="Arial"/>
          <w:color w:val="000000"/>
          <w:lang w:eastAsia="en-ZA"/>
        </w:rPr>
        <w:t>Communications: Competition Tribunal   </w:t>
      </w:r>
    </w:p>
    <w:p w:rsidR="00B72C05" w:rsidRPr="00B72C05" w:rsidRDefault="00B72C05" w:rsidP="00B72C05">
      <w:pPr>
        <w:spacing w:after="0" w:line="240" w:lineRule="auto"/>
        <w:ind w:left="567" w:right="567"/>
        <w:jc w:val="both"/>
        <w:rPr>
          <w:rFonts w:ascii="Arial" w:hAnsi="Arial" w:cs="Arial"/>
          <w:color w:val="000000"/>
          <w:lang w:eastAsia="en-ZA"/>
        </w:rPr>
      </w:pPr>
      <w:r w:rsidRPr="00B72C05">
        <w:rPr>
          <w:rFonts w:ascii="Arial" w:hAnsi="Arial" w:cs="Arial"/>
          <w:color w:val="000000"/>
          <w:lang w:eastAsia="en-ZA"/>
        </w:rPr>
        <w:t xml:space="preserve">Tel (012)394 1383                                      </w:t>
      </w:r>
    </w:p>
    <w:p w:rsidR="00B72C05" w:rsidRPr="00B72C05" w:rsidRDefault="00B72C05" w:rsidP="00B72C05">
      <w:pPr>
        <w:spacing w:after="0" w:line="240" w:lineRule="auto"/>
        <w:ind w:left="567" w:right="567"/>
        <w:jc w:val="both"/>
        <w:rPr>
          <w:rFonts w:ascii="Arial" w:hAnsi="Arial" w:cs="Arial"/>
          <w:color w:val="000000"/>
          <w:lang w:eastAsia="en-ZA"/>
        </w:rPr>
      </w:pPr>
      <w:r w:rsidRPr="00B72C05">
        <w:rPr>
          <w:rFonts w:ascii="Arial" w:hAnsi="Arial" w:cs="Arial"/>
          <w:color w:val="000000"/>
          <w:lang w:eastAsia="en-ZA"/>
        </w:rPr>
        <w:t>Cell: +27 (0) 73 007 5603  </w:t>
      </w:r>
    </w:p>
    <w:p w:rsidR="00B72C05" w:rsidRPr="00B72C05" w:rsidRDefault="00B72C05" w:rsidP="00B72C05">
      <w:pPr>
        <w:spacing w:after="0" w:line="240" w:lineRule="auto"/>
        <w:ind w:left="567" w:right="567"/>
        <w:jc w:val="both"/>
        <w:rPr>
          <w:rFonts w:ascii="Arial" w:hAnsi="Arial" w:cs="Arial"/>
          <w:lang w:eastAsia="en-ZA"/>
        </w:rPr>
      </w:pPr>
      <w:r w:rsidRPr="00B72C05">
        <w:rPr>
          <w:rFonts w:ascii="Arial" w:hAnsi="Arial" w:cs="Arial"/>
          <w:color w:val="000000"/>
          <w:lang w:eastAsia="en-ZA"/>
        </w:rPr>
        <w:t xml:space="preserve">Twitter: @comptrib                                        </w:t>
      </w:r>
    </w:p>
    <w:p w:rsidR="00B72C05" w:rsidRPr="00B72C05" w:rsidRDefault="00B72C05" w:rsidP="00B72C05">
      <w:pPr>
        <w:spacing w:after="0" w:line="240" w:lineRule="auto"/>
        <w:ind w:left="567" w:right="567"/>
        <w:jc w:val="both"/>
        <w:rPr>
          <w:rFonts w:ascii="Arial" w:hAnsi="Arial" w:cs="Arial"/>
        </w:rPr>
      </w:pPr>
      <w:r w:rsidRPr="00B72C05">
        <w:rPr>
          <w:rFonts w:ascii="Arial" w:hAnsi="Arial" w:cs="Arial"/>
          <w:color w:val="000000"/>
          <w:lang w:eastAsia="en-ZA"/>
        </w:rPr>
        <w:t xml:space="preserve">E-Mail: </w:t>
      </w:r>
      <w:hyperlink r:id="rId8" w:history="1">
        <w:r w:rsidRPr="00B72C05">
          <w:rPr>
            <w:rFonts w:ascii="Arial" w:hAnsi="Arial" w:cs="Arial"/>
            <w:color w:val="0000FF"/>
            <w:u w:val="single"/>
            <w:lang w:eastAsia="en-ZA"/>
          </w:rPr>
          <w:t>chantelleb@comptrib.co.za</w:t>
        </w:r>
      </w:hyperlink>
      <w:r w:rsidRPr="00B72C05">
        <w:rPr>
          <w:rFonts w:ascii="Arial" w:hAnsi="Arial" w:cs="Arial"/>
        </w:rPr>
        <w:t xml:space="preserve"> </w:t>
      </w:r>
    </w:p>
    <w:p w:rsidR="00B72C05" w:rsidRPr="00B72C05" w:rsidRDefault="00B72C05" w:rsidP="00B72C05">
      <w:pPr>
        <w:spacing w:after="0" w:line="240" w:lineRule="auto"/>
        <w:ind w:left="567" w:right="567"/>
        <w:jc w:val="both"/>
        <w:rPr>
          <w:rFonts w:ascii="Arial" w:hAnsi="Arial" w:cs="Arial"/>
          <w:color w:val="000000"/>
        </w:rPr>
      </w:pPr>
    </w:p>
    <w:p w:rsidR="00B72C05" w:rsidRPr="00B72C05" w:rsidRDefault="00B72C05" w:rsidP="00B72C05">
      <w:pPr>
        <w:spacing w:after="0" w:line="240" w:lineRule="auto"/>
        <w:ind w:left="567" w:right="567"/>
        <w:jc w:val="both"/>
        <w:rPr>
          <w:rFonts w:ascii="Arial" w:hAnsi="Arial" w:cs="Arial"/>
          <w:color w:val="000000"/>
        </w:rPr>
      </w:pPr>
    </w:p>
    <w:p w:rsidR="00B72C05" w:rsidRPr="00B72C05" w:rsidRDefault="00B72C05" w:rsidP="00B72C05">
      <w:pPr>
        <w:spacing w:after="0" w:line="240" w:lineRule="auto"/>
        <w:ind w:left="567" w:right="567"/>
        <w:jc w:val="both"/>
        <w:rPr>
          <w:rFonts w:ascii="Arial" w:hAnsi="Arial" w:cs="Arial"/>
          <w:lang w:eastAsia="en-ZA"/>
        </w:rPr>
      </w:pPr>
      <w:r w:rsidRPr="00B72C05">
        <w:rPr>
          <w:rFonts w:ascii="Arial" w:hAnsi="Arial" w:cs="Arial"/>
          <w:color w:val="000000"/>
          <w:lang w:eastAsia="en-ZA"/>
        </w:rPr>
        <w:t>On Behalf Of:</w:t>
      </w:r>
    </w:p>
    <w:p w:rsidR="00B72C05" w:rsidRPr="00B72C05" w:rsidRDefault="00B72C05" w:rsidP="00B72C05">
      <w:pPr>
        <w:spacing w:after="0" w:line="240" w:lineRule="auto"/>
        <w:ind w:left="567" w:right="567"/>
        <w:jc w:val="both"/>
        <w:rPr>
          <w:rFonts w:ascii="Arial" w:hAnsi="Arial" w:cs="Arial"/>
          <w:lang w:eastAsia="en-ZA"/>
        </w:rPr>
      </w:pPr>
      <w:r w:rsidRPr="00B72C05">
        <w:rPr>
          <w:rFonts w:ascii="Arial" w:hAnsi="Arial" w:cs="Arial"/>
          <w:color w:val="000000"/>
          <w:lang w:eastAsia="en-ZA"/>
        </w:rPr>
        <w:t>Lerato Motaung                                                   </w:t>
      </w:r>
    </w:p>
    <w:p w:rsidR="00B72C05" w:rsidRPr="00B72C05" w:rsidRDefault="00B72C05" w:rsidP="00B72C05">
      <w:pPr>
        <w:spacing w:after="0" w:line="240" w:lineRule="auto"/>
        <w:ind w:left="567" w:right="567"/>
        <w:jc w:val="both"/>
        <w:rPr>
          <w:rFonts w:ascii="Arial" w:hAnsi="Arial" w:cs="Arial"/>
          <w:lang w:eastAsia="en-ZA"/>
        </w:rPr>
      </w:pPr>
      <w:r w:rsidRPr="00B72C05">
        <w:rPr>
          <w:rFonts w:ascii="Arial" w:hAnsi="Arial" w:cs="Arial"/>
          <w:color w:val="000000"/>
          <w:lang w:eastAsia="en-ZA"/>
        </w:rPr>
        <w:t xml:space="preserve">Registrar: Competition Tribunal                                         </w:t>
      </w:r>
    </w:p>
    <w:p w:rsidR="00B72C05" w:rsidRPr="00B72C05" w:rsidRDefault="00B72C05" w:rsidP="00B72C05">
      <w:pPr>
        <w:spacing w:after="0" w:line="240" w:lineRule="auto"/>
        <w:ind w:left="567" w:right="567"/>
        <w:jc w:val="both"/>
        <w:rPr>
          <w:rFonts w:ascii="Arial" w:hAnsi="Arial" w:cs="Arial"/>
          <w:lang w:eastAsia="en-ZA"/>
        </w:rPr>
      </w:pPr>
      <w:r w:rsidRPr="00B72C05">
        <w:rPr>
          <w:rFonts w:ascii="Arial" w:hAnsi="Arial" w:cs="Arial"/>
          <w:color w:val="000000"/>
          <w:lang w:eastAsia="en-ZA"/>
        </w:rPr>
        <w:t xml:space="preserve">Tel: (012) 394 3355                                              </w:t>
      </w:r>
    </w:p>
    <w:p w:rsidR="00B72C05" w:rsidRPr="00B72C05" w:rsidRDefault="00B72C05" w:rsidP="00B72C05">
      <w:pPr>
        <w:spacing w:after="0" w:line="240" w:lineRule="auto"/>
        <w:ind w:left="567" w:right="567"/>
        <w:jc w:val="both"/>
        <w:rPr>
          <w:rFonts w:ascii="Arial" w:hAnsi="Arial" w:cs="Arial"/>
          <w:lang w:eastAsia="en-ZA"/>
        </w:rPr>
      </w:pPr>
      <w:r w:rsidRPr="00B72C05">
        <w:rPr>
          <w:rFonts w:ascii="Arial" w:hAnsi="Arial" w:cs="Arial"/>
          <w:color w:val="000000"/>
          <w:lang w:eastAsia="en-ZA"/>
        </w:rPr>
        <w:t xml:space="preserve">Cell: +27 (0) 82 556 3221                                               </w:t>
      </w:r>
    </w:p>
    <w:p w:rsidR="00B72C05" w:rsidRPr="00B72C05" w:rsidRDefault="00B72C05" w:rsidP="00B72C05">
      <w:pPr>
        <w:spacing w:after="0" w:line="240" w:lineRule="auto"/>
        <w:ind w:left="567" w:right="567"/>
        <w:jc w:val="both"/>
        <w:rPr>
          <w:rFonts w:ascii="Arial" w:hAnsi="Arial" w:cs="Arial"/>
        </w:rPr>
      </w:pPr>
      <w:r w:rsidRPr="00B72C05">
        <w:rPr>
          <w:rFonts w:ascii="Arial" w:hAnsi="Arial" w:cs="Arial"/>
          <w:color w:val="000000"/>
          <w:lang w:eastAsia="en-ZA"/>
        </w:rPr>
        <w:t xml:space="preserve">E-Mail: </w:t>
      </w:r>
      <w:hyperlink r:id="rId9" w:history="1">
        <w:r w:rsidRPr="00B72C05">
          <w:rPr>
            <w:rFonts w:ascii="Arial" w:hAnsi="Arial" w:cs="Arial"/>
            <w:color w:val="0000FF"/>
            <w:u w:val="single"/>
            <w:lang w:eastAsia="en-ZA"/>
          </w:rPr>
          <w:t>LeratoM@comptrib.co.za</w:t>
        </w:r>
      </w:hyperlink>
    </w:p>
    <w:p w:rsidR="00B72C05" w:rsidRDefault="00B72C05" w:rsidP="00BF7625">
      <w:pPr>
        <w:spacing w:before="240" w:after="200" w:line="240" w:lineRule="auto"/>
        <w:jc w:val="both"/>
        <w:rPr>
          <w:rFonts w:cs="Arial"/>
        </w:rPr>
      </w:pPr>
    </w:p>
    <w:p w:rsidR="008710EF" w:rsidRPr="00BF7625" w:rsidRDefault="008710EF" w:rsidP="00BF7625">
      <w:pPr>
        <w:spacing w:before="240"/>
      </w:pPr>
    </w:p>
    <w:sectPr w:rsidR="008710EF" w:rsidRPr="00BF76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47" w:rsidRDefault="00642D47" w:rsidP="00BF7625">
      <w:pPr>
        <w:spacing w:after="0" w:line="240" w:lineRule="auto"/>
      </w:pPr>
      <w:r>
        <w:separator/>
      </w:r>
    </w:p>
  </w:endnote>
  <w:endnote w:type="continuationSeparator" w:id="0">
    <w:p w:rsidR="00642D47" w:rsidRDefault="00642D47" w:rsidP="00BF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47" w:rsidRDefault="00642D47" w:rsidP="00BF7625">
      <w:pPr>
        <w:spacing w:after="0" w:line="240" w:lineRule="auto"/>
      </w:pPr>
      <w:r>
        <w:separator/>
      </w:r>
    </w:p>
  </w:footnote>
  <w:footnote w:type="continuationSeparator" w:id="0">
    <w:p w:rsidR="00642D47" w:rsidRDefault="00642D47" w:rsidP="00BF7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C4ED2"/>
    <w:multiLevelType w:val="hybridMultilevel"/>
    <w:tmpl w:val="4E34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571FA4"/>
    <w:multiLevelType w:val="hybridMultilevel"/>
    <w:tmpl w:val="03845C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902C41"/>
    <w:multiLevelType w:val="hybridMultilevel"/>
    <w:tmpl w:val="D6CCC69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B">
      <w:start w:val="1"/>
      <w:numFmt w:val="bullet"/>
      <w:lvlText w:val=""/>
      <w:lvlJc w:val="left"/>
      <w:pPr>
        <w:ind w:left="2880" w:hanging="360"/>
      </w:pPr>
      <w:rPr>
        <w:rFonts w:ascii="Wingdings" w:hAnsi="Wingdings"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C0F683A"/>
    <w:multiLevelType w:val="hybridMultilevel"/>
    <w:tmpl w:val="DAFCA60E"/>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9F0226A"/>
    <w:multiLevelType w:val="hybridMultilevel"/>
    <w:tmpl w:val="0024A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64974345"/>
    <w:multiLevelType w:val="hybridMultilevel"/>
    <w:tmpl w:val="2842AE5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653872D4"/>
    <w:multiLevelType w:val="hybridMultilevel"/>
    <w:tmpl w:val="D8AE0C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lvlOverride w:ilvl="3"/>
    <w:lvlOverride w:ilvl="4"/>
    <w:lvlOverride w:ilvl="5"/>
    <w:lvlOverride w:ilvl="6"/>
    <w:lvlOverride w:ilvl="7"/>
    <w:lvlOverride w:ilvl="8"/>
  </w:num>
  <w:num w:numId="2">
    <w:abstractNumId w:val="4"/>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25"/>
    <w:rsid w:val="002F67E1"/>
    <w:rsid w:val="003C165A"/>
    <w:rsid w:val="00482491"/>
    <w:rsid w:val="004D0F55"/>
    <w:rsid w:val="005B4ADC"/>
    <w:rsid w:val="005C72B6"/>
    <w:rsid w:val="006376B4"/>
    <w:rsid w:val="00642D47"/>
    <w:rsid w:val="007B1770"/>
    <w:rsid w:val="0086003D"/>
    <w:rsid w:val="008710EF"/>
    <w:rsid w:val="0092521A"/>
    <w:rsid w:val="00983228"/>
    <w:rsid w:val="009B45DD"/>
    <w:rsid w:val="00A16514"/>
    <w:rsid w:val="00B72C05"/>
    <w:rsid w:val="00BF7625"/>
    <w:rsid w:val="00C73C99"/>
    <w:rsid w:val="00CD39CE"/>
    <w:rsid w:val="00D55108"/>
    <w:rsid w:val="00DD00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59086-E9EC-45AA-A9C6-22BEB59F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2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7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625"/>
    <w:rPr>
      <w:sz w:val="20"/>
      <w:szCs w:val="20"/>
    </w:rPr>
  </w:style>
  <w:style w:type="paragraph" w:styleId="ListParagraph">
    <w:name w:val="List Paragraph"/>
    <w:basedOn w:val="Normal"/>
    <w:uiPriority w:val="34"/>
    <w:qFormat/>
    <w:rsid w:val="00BF7625"/>
    <w:pPr>
      <w:ind w:left="720"/>
      <w:contextualSpacing/>
    </w:pPr>
  </w:style>
  <w:style w:type="character" w:styleId="FootnoteReference">
    <w:name w:val="footnote reference"/>
    <w:basedOn w:val="DefaultParagraphFont"/>
    <w:uiPriority w:val="99"/>
    <w:semiHidden/>
    <w:unhideWhenUsed/>
    <w:rsid w:val="00BF7625"/>
    <w:rPr>
      <w:vertAlign w:val="superscript"/>
    </w:rPr>
  </w:style>
  <w:style w:type="paragraph" w:styleId="BalloonText">
    <w:name w:val="Balloon Text"/>
    <w:basedOn w:val="Normal"/>
    <w:link w:val="BalloonTextChar"/>
    <w:uiPriority w:val="99"/>
    <w:semiHidden/>
    <w:unhideWhenUsed/>
    <w:rsid w:val="00C73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0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2017-10-16T17:07:00Z</dcterms:created>
  <dcterms:modified xsi:type="dcterms:W3CDTF">2017-10-16T17:07:00Z</dcterms:modified>
</cp:coreProperties>
</file>