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C4" w:rsidRPr="00C465C4" w:rsidRDefault="00C465C4" w:rsidP="00C465C4">
      <w:pPr>
        <w:ind w:left="397" w:right="397"/>
        <w:jc w:val="center"/>
      </w:pPr>
      <w:r w:rsidRPr="00C465C4">
        <w:rPr>
          <w:b/>
          <w:noProof/>
          <w:lang w:eastAsia="en-ZA"/>
        </w:rPr>
        <w:drawing>
          <wp:inline distT="0" distB="0" distL="0" distR="0" wp14:anchorId="5BD08929" wp14:editId="6A2AE3BA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5C4" w:rsidRPr="00C465C4" w:rsidRDefault="00C465C4" w:rsidP="00C465C4">
      <w:pPr>
        <w:ind w:left="397" w:right="397"/>
        <w:jc w:val="right"/>
      </w:pPr>
    </w:p>
    <w:p w:rsidR="00C465C4" w:rsidRPr="00C465C4" w:rsidRDefault="00C465C4" w:rsidP="00C465C4">
      <w:pPr>
        <w:ind w:left="397" w:right="397"/>
        <w:jc w:val="right"/>
      </w:pPr>
      <w:r w:rsidRPr="00C465C4">
        <w:t>23 August, 2017</w:t>
      </w:r>
    </w:p>
    <w:p w:rsidR="00C465C4" w:rsidRPr="00C465C4" w:rsidRDefault="00C465C4" w:rsidP="00C465C4">
      <w:pPr>
        <w:ind w:left="397" w:right="397"/>
        <w:jc w:val="right"/>
      </w:pPr>
    </w:p>
    <w:p w:rsidR="00C465C4" w:rsidRPr="00C465C4" w:rsidRDefault="00C465C4" w:rsidP="00C465C4">
      <w:pPr>
        <w:ind w:left="397" w:right="397"/>
        <w:rPr>
          <w:b/>
        </w:rPr>
      </w:pPr>
      <w:r w:rsidRPr="00C465C4">
        <w:rPr>
          <w:b/>
        </w:rPr>
        <w:t xml:space="preserve">Tribunal approves merger involving </w:t>
      </w:r>
      <w:proofErr w:type="spellStart"/>
      <w:r w:rsidRPr="00C465C4">
        <w:rPr>
          <w:b/>
        </w:rPr>
        <w:t>GroCapital</w:t>
      </w:r>
      <w:proofErr w:type="spellEnd"/>
      <w:r w:rsidRPr="00C465C4">
        <w:rPr>
          <w:b/>
        </w:rPr>
        <w:t xml:space="preserve"> Holdings and South African Bank of Athens</w:t>
      </w:r>
    </w:p>
    <w:p w:rsidR="00C465C4" w:rsidRPr="00C465C4" w:rsidRDefault="00C465C4" w:rsidP="00C465C4">
      <w:pPr>
        <w:ind w:left="397" w:right="397"/>
        <w:jc w:val="right"/>
      </w:pPr>
    </w:p>
    <w:p w:rsidR="00C465C4" w:rsidRPr="00C465C4" w:rsidRDefault="00C465C4" w:rsidP="00C465C4">
      <w:pPr>
        <w:ind w:left="397" w:right="397"/>
      </w:pPr>
      <w:r w:rsidRPr="00C465C4">
        <w:t xml:space="preserve">The Competition Tribunal has approved a large merger between </w:t>
      </w:r>
      <w:proofErr w:type="spellStart"/>
      <w:r w:rsidRPr="00C465C4">
        <w:t>GroCapital</w:t>
      </w:r>
      <w:proofErr w:type="spellEnd"/>
      <w:r w:rsidRPr="00C465C4">
        <w:t xml:space="preserve"> Holdings, a subsidiary of AFGRI Holdings and Fairfax Africa Investment, and</w:t>
      </w:r>
      <w:r w:rsidRPr="00C465C4">
        <w:t xml:space="preserve"> the</w:t>
      </w:r>
      <w:r w:rsidRPr="00C465C4">
        <w:t xml:space="preserve"> South African Bank of Athens (SABA). The Minister of Finance has indicated that he will not oppose the merger. </w:t>
      </w:r>
    </w:p>
    <w:p w:rsidR="00C465C4" w:rsidRPr="00C465C4" w:rsidRDefault="00C465C4" w:rsidP="00C465C4">
      <w:pPr>
        <w:ind w:left="397" w:right="397"/>
      </w:pPr>
      <w:r w:rsidRPr="00C465C4">
        <w:t> </w:t>
      </w:r>
    </w:p>
    <w:p w:rsidR="00C465C4" w:rsidRPr="00C465C4" w:rsidRDefault="00C465C4" w:rsidP="00C465C4">
      <w:pPr>
        <w:ind w:left="397" w:right="397"/>
      </w:pPr>
      <w:r w:rsidRPr="00C465C4">
        <w:t xml:space="preserve">Post-merger, </w:t>
      </w:r>
      <w:proofErr w:type="spellStart"/>
      <w:r w:rsidRPr="00C465C4">
        <w:t>GroCapital</w:t>
      </w:r>
      <w:proofErr w:type="spellEnd"/>
      <w:r w:rsidRPr="00C465C4">
        <w:t xml:space="preserve"> will control South African Bank of Athens. Target firm SABA is controlled by the National Bank of Greece S.A.</w:t>
      </w:r>
    </w:p>
    <w:p w:rsidR="00C465C4" w:rsidRPr="00C465C4" w:rsidRDefault="00C465C4" w:rsidP="00C465C4">
      <w:pPr>
        <w:ind w:left="397" w:right="397"/>
      </w:pPr>
      <w:r w:rsidRPr="00C465C4">
        <w:t> </w:t>
      </w:r>
    </w:p>
    <w:p w:rsidR="00C465C4" w:rsidRPr="00C465C4" w:rsidRDefault="00C465C4" w:rsidP="00C465C4">
      <w:pPr>
        <w:shd w:val="clear" w:color="auto" w:fill="FFFFFF"/>
        <w:spacing w:after="150"/>
        <w:ind w:left="397" w:right="397"/>
        <w:jc w:val="both"/>
      </w:pPr>
      <w:r w:rsidRPr="00C465C4">
        <w:rPr>
          <w:color w:val="000000"/>
        </w:rPr>
        <w:t xml:space="preserve">AFGRI Holdings is an agricultural services, financial services and food processing company operating in South Africa, and SABA is a South African-based bank providing business banking services to medium-sized local businesses, as well as niche transactional banking solutions to the broader market. Of relevance to this merger is the business banking and financing market. </w:t>
      </w:r>
    </w:p>
    <w:p w:rsidR="00C465C4" w:rsidRDefault="00C465C4" w:rsidP="00C465C4">
      <w:pPr>
        <w:shd w:val="clear" w:color="auto" w:fill="FFFFFF"/>
        <w:spacing w:after="150"/>
        <w:ind w:left="397" w:right="397"/>
        <w:jc w:val="both"/>
        <w:rPr>
          <w:color w:val="000000"/>
        </w:rPr>
      </w:pPr>
      <w:r w:rsidRPr="00C465C4">
        <w:rPr>
          <w:color w:val="000000"/>
        </w:rPr>
        <w:t>The merger was approved</w:t>
      </w:r>
      <w:r>
        <w:rPr>
          <w:color w:val="000000"/>
        </w:rPr>
        <w:t xml:space="preserve"> by the Tribunal on 22 August, 2017</w:t>
      </w:r>
      <w:r w:rsidRPr="00C465C4">
        <w:rPr>
          <w:color w:val="000000"/>
        </w:rPr>
        <w:t xml:space="preserve"> without conditions. 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Issued by: </w:t>
      </w: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Chantelle Benjamin </w:t>
      </w: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>Communications: Competition Tribunal   </w:t>
      </w: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  <w:lang w:eastAsia="en-ZA"/>
        </w:rPr>
      </w:pPr>
      <w:r w:rsidRPr="005D1909">
        <w:rPr>
          <w:rFonts w:cs="Arial"/>
          <w:color w:val="000000"/>
          <w:lang w:eastAsia="en-ZA"/>
        </w:rPr>
        <w:t>Cell: +27 (0) 73 007 5603  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C465C4" w:rsidRPr="005D1909" w:rsidRDefault="00C465C4" w:rsidP="00C465C4">
      <w:pPr>
        <w:ind w:left="397" w:right="397"/>
        <w:jc w:val="both"/>
        <w:rPr>
          <w:rFonts w:cs="Arial"/>
        </w:rPr>
      </w:pPr>
      <w:r w:rsidRPr="005D1909">
        <w:rPr>
          <w:rFonts w:cs="Arial"/>
          <w:color w:val="000000"/>
          <w:lang w:eastAsia="en-ZA"/>
        </w:rPr>
        <w:t xml:space="preserve">E-Mail: </w:t>
      </w:r>
      <w:hyperlink r:id="rId5" w:history="1">
        <w:r w:rsidRPr="005D1909">
          <w:rPr>
            <w:rStyle w:val="Hyperlink"/>
            <w:rFonts w:cs="Arial"/>
            <w:lang w:eastAsia="en-ZA"/>
          </w:rPr>
          <w:t>chantelleb@comptrib.co.za</w:t>
        </w:r>
      </w:hyperlink>
      <w:r w:rsidRPr="005D1909">
        <w:rPr>
          <w:rFonts w:cs="Arial"/>
        </w:rPr>
        <w:t xml:space="preserve"> </w:t>
      </w: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</w:rPr>
      </w:pPr>
    </w:p>
    <w:p w:rsidR="00C465C4" w:rsidRPr="005D1909" w:rsidRDefault="00C465C4" w:rsidP="00C465C4">
      <w:pPr>
        <w:ind w:left="397" w:right="397"/>
        <w:jc w:val="both"/>
        <w:rPr>
          <w:rFonts w:cs="Arial"/>
          <w:color w:val="000000"/>
        </w:rPr>
      </w:pP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>On Behalf Of: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C465C4" w:rsidRPr="005D1909" w:rsidRDefault="00C465C4" w:rsidP="00C465C4">
      <w:pPr>
        <w:ind w:left="397" w:right="397"/>
        <w:jc w:val="both"/>
        <w:rPr>
          <w:rFonts w:cs="Arial"/>
          <w:lang w:eastAsia="en-ZA"/>
        </w:rPr>
      </w:pPr>
      <w:r w:rsidRPr="005D1909">
        <w:rPr>
          <w:rFonts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C465C4" w:rsidRPr="005D1909" w:rsidRDefault="00C465C4" w:rsidP="00C465C4">
      <w:pPr>
        <w:ind w:left="397" w:right="397"/>
        <w:jc w:val="both"/>
        <w:rPr>
          <w:rFonts w:cs="Arial"/>
        </w:rPr>
      </w:pPr>
      <w:r w:rsidRPr="005D1909">
        <w:rPr>
          <w:rFonts w:cs="Arial"/>
          <w:color w:val="000000"/>
          <w:lang w:eastAsia="en-ZA"/>
        </w:rPr>
        <w:t xml:space="preserve">E-Mail: </w:t>
      </w:r>
      <w:hyperlink r:id="rId6" w:history="1">
        <w:r w:rsidRPr="005D1909">
          <w:rPr>
            <w:rStyle w:val="Hyperlink"/>
            <w:rFonts w:cs="Arial"/>
            <w:lang w:eastAsia="en-ZA"/>
          </w:rPr>
          <w:t>LeratoM@comptrib.co.za</w:t>
        </w:r>
      </w:hyperlink>
    </w:p>
    <w:p w:rsidR="00C465C4" w:rsidRDefault="00C465C4" w:rsidP="00C465C4">
      <w:pPr>
        <w:shd w:val="clear" w:color="auto" w:fill="FFFFFF"/>
        <w:spacing w:after="150"/>
        <w:ind w:left="397" w:right="397"/>
        <w:jc w:val="both"/>
        <w:rPr>
          <w:color w:val="000000"/>
        </w:rPr>
      </w:pPr>
    </w:p>
    <w:p w:rsidR="00C465C4" w:rsidRDefault="00C465C4" w:rsidP="00C465C4">
      <w:pPr>
        <w:shd w:val="clear" w:color="auto" w:fill="FFFFFF"/>
        <w:spacing w:after="150"/>
        <w:ind w:left="397" w:right="397"/>
        <w:jc w:val="both"/>
        <w:rPr>
          <w:color w:val="000000"/>
        </w:rPr>
      </w:pPr>
    </w:p>
    <w:p w:rsidR="00C465C4" w:rsidRPr="00C465C4" w:rsidRDefault="00C465C4" w:rsidP="00C465C4">
      <w:pPr>
        <w:shd w:val="clear" w:color="auto" w:fill="FFFFFF"/>
        <w:spacing w:after="150"/>
        <w:ind w:left="397" w:right="397"/>
        <w:jc w:val="both"/>
      </w:pPr>
    </w:p>
    <w:p w:rsidR="00C35EB2" w:rsidRDefault="00B311A2"/>
    <w:sectPr w:rsidR="00C3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C4"/>
    <w:rsid w:val="003C165A"/>
    <w:rsid w:val="00482491"/>
    <w:rsid w:val="00C4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90DFD2-1021-41A7-8E21-32F7FE7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5C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AlistairV\AppData\Local\Microsoft\Windows\Temporary%20Internet%20Files\Content.Outlook\HMBET88G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/>
  <cp:revision>1</cp:revision>
  <dcterms:created xsi:type="dcterms:W3CDTF">2017-08-23T16:07:00Z</dcterms:created>
</cp:coreProperties>
</file>