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664" w:rsidRDefault="00A71664" w:rsidP="001912BC">
      <w:pPr>
        <w:pStyle w:val="Default"/>
        <w:ind w:left="454" w:right="454"/>
        <w:jc w:val="center"/>
      </w:pPr>
      <w:r w:rsidRPr="00800DEA">
        <w:rPr>
          <w:b/>
          <w:noProof/>
          <w:lang w:eastAsia="en-ZA"/>
        </w:rPr>
        <w:drawing>
          <wp:inline distT="0" distB="0" distL="0" distR="0" wp14:anchorId="1F34EA97" wp14:editId="4C187760">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A71664" w:rsidRDefault="00A71664" w:rsidP="001912BC">
      <w:pPr>
        <w:pStyle w:val="Default"/>
        <w:ind w:left="454" w:right="454"/>
        <w:rPr>
          <w:b/>
          <w:bCs/>
          <w:sz w:val="22"/>
          <w:szCs w:val="22"/>
        </w:rPr>
      </w:pPr>
    </w:p>
    <w:p w:rsidR="00A71664" w:rsidRDefault="00A71664" w:rsidP="001912BC">
      <w:pPr>
        <w:pStyle w:val="Default"/>
        <w:ind w:left="454" w:right="454"/>
        <w:rPr>
          <w:b/>
          <w:bCs/>
          <w:sz w:val="22"/>
          <w:szCs w:val="22"/>
        </w:rPr>
      </w:pPr>
    </w:p>
    <w:p w:rsidR="00A71664" w:rsidRPr="00800DEA" w:rsidRDefault="00A71664" w:rsidP="001912BC">
      <w:pPr>
        <w:spacing w:after="0"/>
        <w:ind w:left="454" w:right="454"/>
        <w:jc w:val="center"/>
        <w:rPr>
          <w:rFonts w:ascii="Arial" w:hAnsi="Arial" w:cs="Arial"/>
          <w:b/>
        </w:rPr>
      </w:pPr>
    </w:p>
    <w:p w:rsidR="00A71664" w:rsidRDefault="00A71664" w:rsidP="001912BC">
      <w:pPr>
        <w:spacing w:after="0"/>
        <w:ind w:left="454" w:right="454"/>
        <w:jc w:val="center"/>
        <w:rPr>
          <w:rFonts w:ascii="Arial" w:hAnsi="Arial" w:cs="Arial"/>
          <w:b/>
        </w:rPr>
      </w:pPr>
    </w:p>
    <w:p w:rsidR="00A71664" w:rsidRDefault="00A71664" w:rsidP="001912BC">
      <w:pPr>
        <w:spacing w:after="0"/>
        <w:ind w:left="454" w:right="454"/>
        <w:jc w:val="center"/>
        <w:rPr>
          <w:rFonts w:ascii="Arial" w:hAnsi="Arial" w:cs="Arial"/>
          <w:b/>
        </w:rPr>
      </w:pPr>
      <w:r>
        <w:rPr>
          <w:rFonts w:ascii="Arial" w:hAnsi="Arial" w:cs="Arial"/>
          <w:b/>
        </w:rPr>
        <w:t>OUTCOME OF TRIBUNAL HEARING</w:t>
      </w:r>
      <w:r>
        <w:rPr>
          <w:rFonts w:ascii="Arial" w:hAnsi="Arial" w:cs="Arial"/>
          <w:b/>
        </w:rPr>
        <w:t xml:space="preserve"> WEDNESDAY, 16 AUGUST</w:t>
      </w:r>
      <w:r w:rsidRPr="00800DEA">
        <w:rPr>
          <w:rFonts w:ascii="Arial" w:hAnsi="Arial" w:cs="Arial"/>
          <w:b/>
        </w:rPr>
        <w:t>, 2017</w:t>
      </w:r>
    </w:p>
    <w:p w:rsidR="00A71664" w:rsidRDefault="00A71664" w:rsidP="001912BC">
      <w:pPr>
        <w:spacing w:after="0"/>
        <w:ind w:left="454" w:right="454"/>
        <w:jc w:val="center"/>
        <w:rPr>
          <w:rFonts w:ascii="Arial" w:hAnsi="Arial" w:cs="Arial"/>
          <w:b/>
        </w:rPr>
      </w:pPr>
    </w:p>
    <w:p w:rsidR="00A71664" w:rsidRPr="00DC5603" w:rsidRDefault="00A71664" w:rsidP="001912BC">
      <w:pPr>
        <w:spacing w:after="0"/>
        <w:ind w:left="454" w:right="454"/>
        <w:jc w:val="both"/>
        <w:rPr>
          <w:rFonts w:ascii="Arial" w:hAnsi="Arial" w:cs="Arial"/>
        </w:rPr>
      </w:pPr>
    </w:p>
    <w:tbl>
      <w:tblPr>
        <w:tblStyle w:val="TableGrid"/>
        <w:tblpPr w:leftFromText="180" w:rightFromText="180" w:vertAnchor="text" w:horzAnchor="page" w:tblpX="181" w:tblpY="246"/>
        <w:tblW w:w="11472"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ayout w:type="fixed"/>
        <w:tblLook w:val="04A0" w:firstRow="1" w:lastRow="0" w:firstColumn="1" w:lastColumn="0" w:noHBand="0" w:noVBand="1"/>
      </w:tblPr>
      <w:tblGrid>
        <w:gridCol w:w="2268"/>
        <w:gridCol w:w="3260"/>
        <w:gridCol w:w="2972"/>
        <w:gridCol w:w="2972"/>
      </w:tblGrid>
      <w:tr w:rsidR="00A71664" w:rsidRPr="00800DEA" w:rsidTr="00A71664">
        <w:trPr>
          <w:trHeight w:val="972"/>
        </w:trPr>
        <w:tc>
          <w:tcPr>
            <w:tcW w:w="2268" w:type="dxa"/>
            <w:shd w:val="clear" w:color="auto" w:fill="996633"/>
          </w:tcPr>
          <w:p w:rsidR="00A71664" w:rsidRPr="00800DEA" w:rsidRDefault="00A71664" w:rsidP="001912BC">
            <w:pPr>
              <w:ind w:left="454" w:right="454"/>
              <w:rPr>
                <w:rFonts w:ascii="Arial" w:hAnsi="Arial" w:cs="Arial"/>
                <w:color w:val="FFFFFF" w:themeColor="background1"/>
              </w:rPr>
            </w:pPr>
            <w:r w:rsidRPr="00800DEA">
              <w:rPr>
                <w:rFonts w:ascii="Arial" w:hAnsi="Arial" w:cs="Arial"/>
                <w:color w:val="FFFFFF" w:themeColor="background1"/>
              </w:rPr>
              <w:t>Type of matter</w:t>
            </w:r>
          </w:p>
        </w:tc>
        <w:tc>
          <w:tcPr>
            <w:tcW w:w="3260" w:type="dxa"/>
            <w:shd w:val="clear" w:color="auto" w:fill="996633"/>
          </w:tcPr>
          <w:p w:rsidR="00A71664" w:rsidRPr="00800DEA" w:rsidRDefault="00A71664" w:rsidP="001912BC">
            <w:pPr>
              <w:ind w:left="454" w:right="454"/>
              <w:rPr>
                <w:rFonts w:ascii="Arial" w:hAnsi="Arial" w:cs="Arial"/>
                <w:color w:val="FFFFFF" w:themeColor="background1"/>
              </w:rPr>
            </w:pPr>
            <w:r w:rsidRPr="00800DEA">
              <w:rPr>
                <w:rFonts w:ascii="Arial" w:hAnsi="Arial" w:cs="Arial"/>
                <w:color w:val="FFFFFF" w:themeColor="background1"/>
              </w:rPr>
              <w:t>Parties involved</w:t>
            </w:r>
          </w:p>
        </w:tc>
        <w:tc>
          <w:tcPr>
            <w:tcW w:w="2972" w:type="dxa"/>
            <w:shd w:val="clear" w:color="auto" w:fill="996633"/>
          </w:tcPr>
          <w:p w:rsidR="00A71664" w:rsidRPr="00800DEA" w:rsidRDefault="00A71664" w:rsidP="001912BC">
            <w:pPr>
              <w:ind w:left="454" w:right="454"/>
              <w:rPr>
                <w:rFonts w:ascii="Arial" w:hAnsi="Arial" w:cs="Arial"/>
                <w:color w:val="FFFFFF" w:themeColor="background1"/>
              </w:rPr>
            </w:pPr>
            <w:r w:rsidRPr="00800DEA">
              <w:rPr>
                <w:rFonts w:ascii="Arial" w:hAnsi="Arial" w:cs="Arial"/>
                <w:color w:val="FFFFFF" w:themeColor="background1"/>
              </w:rPr>
              <w:t>Competition Commission’s recommendation to Tribunal</w:t>
            </w:r>
          </w:p>
        </w:tc>
        <w:tc>
          <w:tcPr>
            <w:tcW w:w="2972" w:type="dxa"/>
            <w:shd w:val="clear" w:color="auto" w:fill="996633"/>
          </w:tcPr>
          <w:p w:rsidR="00A71664" w:rsidRDefault="00A71664" w:rsidP="001912BC">
            <w:pPr>
              <w:ind w:left="454" w:right="454"/>
              <w:rPr>
                <w:rFonts w:ascii="Arial" w:hAnsi="Arial" w:cs="Arial"/>
                <w:color w:val="FFFFFF" w:themeColor="background1"/>
              </w:rPr>
            </w:pPr>
            <w:r>
              <w:rPr>
                <w:rFonts w:ascii="Arial" w:hAnsi="Arial" w:cs="Arial"/>
                <w:color w:val="FFFFFF" w:themeColor="background1"/>
              </w:rPr>
              <w:t>Tribunal</w:t>
            </w:r>
          </w:p>
          <w:p w:rsidR="00A71664" w:rsidRPr="00A71664" w:rsidRDefault="00A71664" w:rsidP="001912BC">
            <w:pPr>
              <w:ind w:left="454" w:right="454"/>
              <w:rPr>
                <w:rFonts w:ascii="Arial" w:hAnsi="Arial" w:cs="Arial"/>
                <w:color w:val="FFFFFF" w:themeColor="background1"/>
              </w:rPr>
            </w:pPr>
            <w:r>
              <w:rPr>
                <w:rFonts w:ascii="Arial" w:hAnsi="Arial" w:cs="Arial"/>
                <w:color w:val="FFFFFF" w:themeColor="background1"/>
              </w:rPr>
              <w:t>decision</w:t>
            </w:r>
          </w:p>
        </w:tc>
      </w:tr>
      <w:tr w:rsidR="00A71664" w:rsidRPr="00800DEA" w:rsidTr="00A71664">
        <w:trPr>
          <w:trHeight w:val="493"/>
        </w:trPr>
        <w:tc>
          <w:tcPr>
            <w:tcW w:w="2268" w:type="dxa"/>
          </w:tcPr>
          <w:p w:rsidR="00A71664" w:rsidRPr="00800DEA" w:rsidRDefault="00A71664" w:rsidP="001912BC">
            <w:pPr>
              <w:ind w:left="454" w:right="454"/>
              <w:jc w:val="both"/>
              <w:rPr>
                <w:rFonts w:ascii="Arial" w:hAnsi="Arial" w:cs="Arial"/>
              </w:rPr>
            </w:pPr>
            <w:r>
              <w:rPr>
                <w:rFonts w:ascii="Arial" w:hAnsi="Arial" w:cs="Arial"/>
              </w:rPr>
              <w:t>Large merger</w:t>
            </w:r>
          </w:p>
        </w:tc>
        <w:tc>
          <w:tcPr>
            <w:tcW w:w="3260" w:type="dxa"/>
          </w:tcPr>
          <w:p w:rsidR="00A71664" w:rsidRPr="003F59C2" w:rsidRDefault="00A71664" w:rsidP="001912BC">
            <w:pPr>
              <w:ind w:left="454" w:right="454"/>
              <w:jc w:val="both"/>
              <w:rPr>
                <w:rFonts w:ascii="Arial" w:hAnsi="Arial" w:cs="Arial"/>
              </w:rPr>
            </w:pPr>
            <w:r w:rsidRPr="003F59C2">
              <w:rPr>
                <w:rFonts w:ascii="Arial" w:hAnsi="Arial" w:cs="Arial"/>
                <w:color w:val="000000"/>
              </w:rPr>
              <w:t>Growthpoint Properties Ltd And Redefine Properties Ltd In Respect of a 58 percent Undivided Share In The N1 City Mall</w:t>
            </w:r>
          </w:p>
        </w:tc>
        <w:tc>
          <w:tcPr>
            <w:tcW w:w="2972" w:type="dxa"/>
          </w:tcPr>
          <w:p w:rsidR="00A71664" w:rsidRPr="00800DEA" w:rsidRDefault="00A71664" w:rsidP="001912BC">
            <w:pPr>
              <w:ind w:left="454" w:right="454"/>
              <w:jc w:val="both"/>
              <w:rPr>
                <w:rFonts w:ascii="Arial" w:hAnsi="Arial" w:cs="Arial"/>
              </w:rPr>
            </w:pPr>
            <w:r>
              <w:rPr>
                <w:rFonts w:ascii="Arial" w:hAnsi="Arial" w:cs="Arial"/>
              </w:rPr>
              <w:t>Approve without conditions</w:t>
            </w:r>
          </w:p>
        </w:tc>
        <w:tc>
          <w:tcPr>
            <w:tcW w:w="2972" w:type="dxa"/>
          </w:tcPr>
          <w:p w:rsidR="00A71664" w:rsidRDefault="00754D44" w:rsidP="001912BC">
            <w:pPr>
              <w:ind w:left="454" w:right="454"/>
              <w:jc w:val="both"/>
              <w:rPr>
                <w:rFonts w:ascii="Arial" w:hAnsi="Arial" w:cs="Arial"/>
              </w:rPr>
            </w:pPr>
            <w:r>
              <w:rPr>
                <w:rFonts w:ascii="Arial" w:hAnsi="Arial" w:cs="Arial"/>
              </w:rPr>
              <w:t xml:space="preserve">Approved without conditions </w:t>
            </w:r>
          </w:p>
        </w:tc>
      </w:tr>
      <w:tr w:rsidR="00A71664" w:rsidRPr="00800DEA" w:rsidTr="00A71664">
        <w:trPr>
          <w:trHeight w:val="70"/>
        </w:trPr>
        <w:tc>
          <w:tcPr>
            <w:tcW w:w="2268" w:type="dxa"/>
          </w:tcPr>
          <w:p w:rsidR="00A71664" w:rsidRPr="00800DEA" w:rsidRDefault="00A71664" w:rsidP="001912BC">
            <w:pPr>
              <w:ind w:left="454" w:right="454"/>
              <w:jc w:val="both"/>
              <w:rPr>
                <w:rFonts w:ascii="Arial" w:hAnsi="Arial" w:cs="Arial"/>
                <w:color w:val="000000"/>
              </w:rPr>
            </w:pPr>
            <w:r>
              <w:rPr>
                <w:rFonts w:ascii="Arial" w:hAnsi="Arial" w:cs="Arial"/>
                <w:color w:val="000000"/>
              </w:rPr>
              <w:t xml:space="preserve">Large merger </w:t>
            </w:r>
          </w:p>
        </w:tc>
        <w:tc>
          <w:tcPr>
            <w:tcW w:w="3260" w:type="dxa"/>
          </w:tcPr>
          <w:p w:rsidR="00A71664" w:rsidRPr="003F59C2" w:rsidRDefault="00A71664" w:rsidP="001912BC">
            <w:pPr>
              <w:ind w:left="454" w:right="454"/>
              <w:jc w:val="both"/>
              <w:rPr>
                <w:rFonts w:ascii="Arial" w:hAnsi="Arial" w:cs="Arial"/>
                <w:color w:val="000000"/>
              </w:rPr>
            </w:pPr>
            <w:r w:rsidRPr="003F59C2">
              <w:rPr>
                <w:rFonts w:ascii="Arial" w:hAnsi="Arial" w:cs="Arial"/>
                <w:color w:val="000000"/>
              </w:rPr>
              <w:t>ENX Group Limited And Extract Group Limited</w:t>
            </w:r>
          </w:p>
        </w:tc>
        <w:tc>
          <w:tcPr>
            <w:tcW w:w="2972" w:type="dxa"/>
          </w:tcPr>
          <w:p w:rsidR="00A71664" w:rsidRPr="00800DEA" w:rsidRDefault="00A71664" w:rsidP="001912BC">
            <w:pPr>
              <w:ind w:left="454" w:right="454"/>
              <w:rPr>
                <w:rFonts w:ascii="Arial" w:hAnsi="Arial" w:cs="Arial"/>
              </w:rPr>
            </w:pPr>
            <w:r>
              <w:rPr>
                <w:rFonts w:ascii="Arial" w:hAnsi="Arial" w:cs="Arial"/>
              </w:rPr>
              <w:t>Approve with conditions</w:t>
            </w:r>
          </w:p>
        </w:tc>
        <w:tc>
          <w:tcPr>
            <w:tcW w:w="2972" w:type="dxa"/>
          </w:tcPr>
          <w:p w:rsidR="00A71664" w:rsidRDefault="00754D44" w:rsidP="001912BC">
            <w:pPr>
              <w:ind w:left="454" w:right="454"/>
              <w:rPr>
                <w:rFonts w:ascii="Arial" w:hAnsi="Arial" w:cs="Arial"/>
              </w:rPr>
            </w:pPr>
            <w:r>
              <w:rPr>
                <w:rFonts w:ascii="Arial" w:hAnsi="Arial" w:cs="Arial"/>
              </w:rPr>
              <w:t>Approved with conditions</w:t>
            </w:r>
          </w:p>
        </w:tc>
      </w:tr>
      <w:tr w:rsidR="00A71664" w:rsidRPr="00800DEA" w:rsidTr="00A71664">
        <w:trPr>
          <w:trHeight w:val="70"/>
        </w:trPr>
        <w:tc>
          <w:tcPr>
            <w:tcW w:w="2268" w:type="dxa"/>
          </w:tcPr>
          <w:p w:rsidR="00A71664" w:rsidRPr="00800DEA" w:rsidRDefault="00A71664" w:rsidP="001912BC">
            <w:pPr>
              <w:ind w:left="454" w:right="454"/>
              <w:jc w:val="both"/>
              <w:rPr>
                <w:rFonts w:ascii="Arial" w:hAnsi="Arial" w:cs="Arial"/>
                <w:color w:val="000000"/>
              </w:rPr>
            </w:pPr>
            <w:r>
              <w:rPr>
                <w:rFonts w:ascii="Arial" w:hAnsi="Arial" w:cs="Arial"/>
                <w:color w:val="000000"/>
              </w:rPr>
              <w:t>Large merger</w:t>
            </w:r>
          </w:p>
        </w:tc>
        <w:tc>
          <w:tcPr>
            <w:tcW w:w="3260" w:type="dxa"/>
          </w:tcPr>
          <w:p w:rsidR="00A71664" w:rsidRPr="003F59C2" w:rsidRDefault="00A71664" w:rsidP="001912BC">
            <w:pPr>
              <w:ind w:left="454" w:right="454"/>
              <w:jc w:val="both"/>
              <w:rPr>
                <w:rFonts w:ascii="Arial" w:hAnsi="Arial" w:cs="Arial"/>
                <w:color w:val="000000"/>
              </w:rPr>
            </w:pPr>
            <w:r w:rsidRPr="003F59C2">
              <w:rPr>
                <w:rFonts w:ascii="Arial" w:hAnsi="Arial" w:cs="Arial"/>
                <w:color w:val="000000"/>
              </w:rPr>
              <w:t>Main Street 1532 (Pty) Ltd And Thebe Investment Corporation (Pty) Ltd</w:t>
            </w:r>
          </w:p>
        </w:tc>
        <w:tc>
          <w:tcPr>
            <w:tcW w:w="2972" w:type="dxa"/>
          </w:tcPr>
          <w:p w:rsidR="00A71664" w:rsidRPr="00800DEA" w:rsidRDefault="00A71664" w:rsidP="001912BC">
            <w:pPr>
              <w:ind w:left="454" w:right="454"/>
              <w:rPr>
                <w:rFonts w:ascii="Arial" w:hAnsi="Arial" w:cs="Arial"/>
              </w:rPr>
            </w:pPr>
            <w:r>
              <w:rPr>
                <w:rFonts w:ascii="Arial" w:hAnsi="Arial" w:cs="Arial"/>
              </w:rPr>
              <w:t>Approve without conditions</w:t>
            </w:r>
          </w:p>
        </w:tc>
        <w:tc>
          <w:tcPr>
            <w:tcW w:w="2972" w:type="dxa"/>
          </w:tcPr>
          <w:p w:rsidR="00A71664" w:rsidRDefault="001912BC" w:rsidP="001912BC">
            <w:pPr>
              <w:ind w:left="454" w:right="454"/>
              <w:rPr>
                <w:rFonts w:ascii="Arial" w:hAnsi="Arial" w:cs="Arial"/>
              </w:rPr>
            </w:pPr>
            <w:r>
              <w:rPr>
                <w:rFonts w:ascii="Arial" w:hAnsi="Arial" w:cs="Arial"/>
              </w:rPr>
              <w:t>Approved without conditions</w:t>
            </w:r>
          </w:p>
        </w:tc>
      </w:tr>
      <w:tr w:rsidR="00A71664" w:rsidRPr="00800DEA" w:rsidTr="00A71664">
        <w:trPr>
          <w:trHeight w:val="70"/>
        </w:trPr>
        <w:tc>
          <w:tcPr>
            <w:tcW w:w="2268" w:type="dxa"/>
          </w:tcPr>
          <w:p w:rsidR="00A71664" w:rsidRPr="00800DEA" w:rsidRDefault="00A71664" w:rsidP="001912BC">
            <w:pPr>
              <w:ind w:left="454" w:right="454"/>
              <w:jc w:val="both"/>
              <w:rPr>
                <w:rFonts w:ascii="Arial" w:hAnsi="Arial" w:cs="Arial"/>
                <w:color w:val="000000"/>
              </w:rPr>
            </w:pPr>
            <w:r>
              <w:rPr>
                <w:rFonts w:ascii="Arial" w:hAnsi="Arial" w:cs="Arial"/>
                <w:color w:val="000000"/>
              </w:rPr>
              <w:t xml:space="preserve">Large merger </w:t>
            </w:r>
          </w:p>
        </w:tc>
        <w:tc>
          <w:tcPr>
            <w:tcW w:w="3260" w:type="dxa"/>
          </w:tcPr>
          <w:p w:rsidR="00A71664" w:rsidRPr="003F59C2" w:rsidRDefault="00A71664" w:rsidP="001912BC">
            <w:pPr>
              <w:ind w:left="454" w:right="454"/>
              <w:jc w:val="both"/>
              <w:rPr>
                <w:rFonts w:ascii="Arial" w:hAnsi="Arial" w:cs="Arial"/>
                <w:color w:val="000000"/>
              </w:rPr>
            </w:pPr>
            <w:r w:rsidRPr="003F59C2">
              <w:rPr>
                <w:rFonts w:ascii="Arial" w:hAnsi="Arial" w:cs="Arial"/>
                <w:color w:val="000000"/>
              </w:rPr>
              <w:t xml:space="preserve">Old Mutual Life Assurance Company South Africa Limited And Kagiso Infrastructure Empowerment Fund </w:t>
            </w:r>
          </w:p>
        </w:tc>
        <w:tc>
          <w:tcPr>
            <w:tcW w:w="2972" w:type="dxa"/>
          </w:tcPr>
          <w:p w:rsidR="00A71664" w:rsidRPr="00800DEA" w:rsidRDefault="00A71664" w:rsidP="001912BC">
            <w:pPr>
              <w:ind w:left="454" w:right="454"/>
              <w:rPr>
                <w:rFonts w:ascii="Arial" w:hAnsi="Arial" w:cs="Arial"/>
              </w:rPr>
            </w:pPr>
            <w:r>
              <w:rPr>
                <w:rFonts w:ascii="Arial" w:hAnsi="Arial" w:cs="Arial"/>
              </w:rPr>
              <w:t xml:space="preserve">Approve without conditions </w:t>
            </w:r>
          </w:p>
        </w:tc>
        <w:tc>
          <w:tcPr>
            <w:tcW w:w="2972" w:type="dxa"/>
          </w:tcPr>
          <w:p w:rsidR="00A71664" w:rsidRDefault="00B66470" w:rsidP="001912BC">
            <w:pPr>
              <w:ind w:left="454" w:right="454"/>
              <w:rPr>
                <w:rFonts w:ascii="Arial" w:hAnsi="Arial" w:cs="Arial"/>
              </w:rPr>
            </w:pPr>
            <w:r>
              <w:rPr>
                <w:rFonts w:ascii="Arial" w:hAnsi="Arial" w:cs="Arial"/>
              </w:rPr>
              <w:t xml:space="preserve">Approved without conditions </w:t>
            </w:r>
          </w:p>
        </w:tc>
      </w:tr>
      <w:tr w:rsidR="00A71664" w:rsidRPr="00800DEA" w:rsidTr="00A71664">
        <w:trPr>
          <w:trHeight w:val="70"/>
        </w:trPr>
        <w:tc>
          <w:tcPr>
            <w:tcW w:w="2268" w:type="dxa"/>
          </w:tcPr>
          <w:p w:rsidR="00A71664" w:rsidRPr="00800DEA" w:rsidRDefault="00A71664" w:rsidP="001912BC">
            <w:pPr>
              <w:ind w:left="454" w:right="454"/>
              <w:jc w:val="both"/>
              <w:rPr>
                <w:rFonts w:ascii="Arial" w:hAnsi="Arial" w:cs="Arial"/>
                <w:color w:val="000000"/>
              </w:rPr>
            </w:pPr>
            <w:r>
              <w:rPr>
                <w:rFonts w:ascii="Arial" w:hAnsi="Arial" w:cs="Arial"/>
                <w:color w:val="000000"/>
              </w:rPr>
              <w:t xml:space="preserve">Large merger </w:t>
            </w:r>
          </w:p>
        </w:tc>
        <w:tc>
          <w:tcPr>
            <w:tcW w:w="3260" w:type="dxa"/>
          </w:tcPr>
          <w:p w:rsidR="00A71664" w:rsidRPr="003F59C2" w:rsidRDefault="00A71664" w:rsidP="001912BC">
            <w:pPr>
              <w:ind w:left="454" w:right="454"/>
              <w:jc w:val="both"/>
              <w:rPr>
                <w:rFonts w:ascii="Arial" w:hAnsi="Arial" w:cs="Arial"/>
                <w:color w:val="000000"/>
              </w:rPr>
            </w:pPr>
            <w:r w:rsidRPr="003F59C2">
              <w:rPr>
                <w:rFonts w:ascii="Arial" w:hAnsi="Arial" w:cs="Arial"/>
                <w:color w:val="000000"/>
              </w:rPr>
              <w:t xml:space="preserve">Setso Property Fund (Pty) Ltd And Sanlam Life Insurance Limited in Respect of the </w:t>
            </w:r>
            <w:r>
              <w:rPr>
                <w:rFonts w:ascii="Arial" w:hAnsi="Arial" w:cs="Arial"/>
                <w:color w:val="000000"/>
              </w:rPr>
              <w:t>Ansteys</w:t>
            </w:r>
            <w:r w:rsidRPr="003F59C2">
              <w:rPr>
                <w:rFonts w:ascii="Arial" w:hAnsi="Arial" w:cs="Arial"/>
                <w:color w:val="000000"/>
              </w:rPr>
              <w:t xml:space="preserve"> Woolworths Letting Enterprise</w:t>
            </w:r>
          </w:p>
        </w:tc>
        <w:tc>
          <w:tcPr>
            <w:tcW w:w="2972" w:type="dxa"/>
          </w:tcPr>
          <w:p w:rsidR="00A71664" w:rsidRPr="00800DEA" w:rsidRDefault="00A71664" w:rsidP="001912BC">
            <w:pPr>
              <w:ind w:left="454" w:right="454"/>
              <w:rPr>
                <w:rFonts w:ascii="Arial" w:hAnsi="Arial" w:cs="Arial"/>
              </w:rPr>
            </w:pPr>
            <w:r>
              <w:rPr>
                <w:rFonts w:ascii="Arial" w:hAnsi="Arial" w:cs="Arial"/>
              </w:rPr>
              <w:t xml:space="preserve">Approve without conditions </w:t>
            </w:r>
          </w:p>
        </w:tc>
        <w:tc>
          <w:tcPr>
            <w:tcW w:w="2972" w:type="dxa"/>
          </w:tcPr>
          <w:p w:rsidR="00A71664" w:rsidRDefault="001912BC" w:rsidP="001912BC">
            <w:pPr>
              <w:ind w:left="454" w:right="454"/>
              <w:rPr>
                <w:rFonts w:ascii="Arial" w:hAnsi="Arial" w:cs="Arial"/>
              </w:rPr>
            </w:pPr>
            <w:r>
              <w:rPr>
                <w:rFonts w:ascii="Arial" w:hAnsi="Arial" w:cs="Arial"/>
              </w:rPr>
              <w:t>Approved without conditions</w:t>
            </w:r>
          </w:p>
        </w:tc>
      </w:tr>
      <w:tr w:rsidR="00A71664" w:rsidRPr="00800DEA" w:rsidTr="00A71664">
        <w:trPr>
          <w:trHeight w:val="70"/>
        </w:trPr>
        <w:tc>
          <w:tcPr>
            <w:tcW w:w="2268" w:type="dxa"/>
          </w:tcPr>
          <w:p w:rsidR="00A71664" w:rsidRPr="00800DEA" w:rsidRDefault="00A71664" w:rsidP="001912BC">
            <w:pPr>
              <w:ind w:left="454" w:right="454"/>
              <w:jc w:val="both"/>
              <w:rPr>
                <w:rFonts w:ascii="Arial" w:hAnsi="Arial" w:cs="Arial"/>
                <w:color w:val="000000"/>
              </w:rPr>
            </w:pPr>
            <w:r>
              <w:rPr>
                <w:rFonts w:ascii="Arial" w:hAnsi="Arial" w:cs="Arial"/>
                <w:color w:val="000000"/>
              </w:rPr>
              <w:t xml:space="preserve">Settlement agreement </w:t>
            </w:r>
          </w:p>
        </w:tc>
        <w:tc>
          <w:tcPr>
            <w:tcW w:w="3260" w:type="dxa"/>
          </w:tcPr>
          <w:p w:rsidR="00A71664" w:rsidRPr="003F59C2" w:rsidRDefault="00A71664" w:rsidP="001912BC">
            <w:pPr>
              <w:ind w:left="454" w:right="454"/>
              <w:jc w:val="both"/>
              <w:rPr>
                <w:rFonts w:ascii="Arial" w:hAnsi="Arial" w:cs="Arial"/>
                <w:color w:val="000000"/>
              </w:rPr>
            </w:pPr>
            <w:r w:rsidRPr="003F59C2">
              <w:rPr>
                <w:rFonts w:ascii="Arial" w:hAnsi="Arial" w:cs="Arial"/>
                <w:color w:val="000000"/>
              </w:rPr>
              <w:t>Competition Commission And Cape Brick (Pty) Ltd</w:t>
            </w:r>
          </w:p>
        </w:tc>
        <w:tc>
          <w:tcPr>
            <w:tcW w:w="2972" w:type="dxa"/>
          </w:tcPr>
          <w:p w:rsidR="00A71664" w:rsidRPr="00800DEA" w:rsidRDefault="00A71664" w:rsidP="001912BC">
            <w:pPr>
              <w:ind w:left="454" w:right="454"/>
              <w:rPr>
                <w:rFonts w:ascii="Arial" w:hAnsi="Arial" w:cs="Arial"/>
              </w:rPr>
            </w:pPr>
            <w:r>
              <w:rPr>
                <w:rFonts w:ascii="Arial" w:hAnsi="Arial" w:cs="Arial"/>
              </w:rPr>
              <w:t>Confirmation of settlement agreement</w:t>
            </w:r>
          </w:p>
        </w:tc>
        <w:tc>
          <w:tcPr>
            <w:tcW w:w="2972" w:type="dxa"/>
          </w:tcPr>
          <w:p w:rsidR="00A71664" w:rsidRDefault="00A71664" w:rsidP="001912BC">
            <w:pPr>
              <w:ind w:left="454" w:right="454"/>
              <w:rPr>
                <w:rFonts w:ascii="Arial" w:hAnsi="Arial" w:cs="Arial"/>
              </w:rPr>
            </w:pPr>
            <w:r>
              <w:rPr>
                <w:rFonts w:ascii="Arial" w:hAnsi="Arial" w:cs="Arial"/>
              </w:rPr>
              <w:t>Confirmed settlement agreement</w:t>
            </w:r>
          </w:p>
        </w:tc>
      </w:tr>
    </w:tbl>
    <w:p w:rsidR="00A71664" w:rsidRPr="00800DEA" w:rsidRDefault="00A71664" w:rsidP="001912BC">
      <w:pPr>
        <w:ind w:left="454" w:right="454"/>
        <w:jc w:val="both"/>
        <w:rPr>
          <w:rFonts w:ascii="Arial" w:hAnsi="Arial" w:cs="Arial"/>
        </w:rPr>
      </w:pPr>
    </w:p>
    <w:p w:rsidR="00A71664" w:rsidRPr="00800DEA" w:rsidRDefault="00A71664" w:rsidP="001912BC">
      <w:pPr>
        <w:ind w:left="454" w:right="454"/>
        <w:rPr>
          <w:rFonts w:ascii="Arial" w:hAnsi="Arial" w:cs="Arial"/>
        </w:rPr>
      </w:pPr>
    </w:p>
    <w:p w:rsidR="00A71664" w:rsidRDefault="00A71664" w:rsidP="001912BC">
      <w:pPr>
        <w:pStyle w:val="Default"/>
        <w:spacing w:after="240"/>
        <w:ind w:left="454" w:right="454"/>
        <w:rPr>
          <w:b/>
          <w:bCs/>
          <w:sz w:val="22"/>
          <w:szCs w:val="22"/>
        </w:rPr>
      </w:pPr>
      <w:r>
        <w:rPr>
          <w:b/>
          <w:bCs/>
          <w:sz w:val="22"/>
          <w:szCs w:val="22"/>
        </w:rPr>
        <w:t>Growthpoint</w:t>
      </w:r>
      <w:r w:rsidR="00754D44">
        <w:rPr>
          <w:b/>
          <w:bCs/>
          <w:sz w:val="22"/>
          <w:szCs w:val="22"/>
        </w:rPr>
        <w:t xml:space="preserve"> (Pty) Ltd is to </w:t>
      </w:r>
      <w:r>
        <w:rPr>
          <w:b/>
          <w:bCs/>
          <w:sz w:val="22"/>
          <w:szCs w:val="22"/>
        </w:rPr>
        <w:t xml:space="preserve">acquire retail operating enterprise from Redefine Properties Ltd </w:t>
      </w:r>
    </w:p>
    <w:p w:rsidR="00A71664" w:rsidRDefault="00754D44" w:rsidP="001912BC">
      <w:pPr>
        <w:pStyle w:val="Default"/>
        <w:spacing w:after="240"/>
        <w:ind w:left="454" w:right="454"/>
        <w:rPr>
          <w:sz w:val="22"/>
          <w:szCs w:val="22"/>
        </w:rPr>
      </w:pPr>
      <w:r>
        <w:rPr>
          <w:sz w:val="22"/>
          <w:szCs w:val="22"/>
        </w:rPr>
        <w:t xml:space="preserve">The Tribunal has approved the transaction </w:t>
      </w:r>
      <w:r w:rsidR="00A71664">
        <w:rPr>
          <w:sz w:val="22"/>
          <w:szCs w:val="22"/>
        </w:rPr>
        <w:t xml:space="preserve">whereby Growthpoint Properties Limited (Growthpoint) intends to acquire the retail letting enterprise known as the N1 City Mall from Redefine Properties Limited (Redefine). </w:t>
      </w:r>
    </w:p>
    <w:p w:rsidR="00A71664" w:rsidRDefault="00A71664" w:rsidP="001912BC">
      <w:pPr>
        <w:pStyle w:val="Default"/>
        <w:spacing w:after="240"/>
        <w:ind w:left="454" w:right="454"/>
        <w:rPr>
          <w:sz w:val="22"/>
          <w:szCs w:val="22"/>
        </w:rPr>
      </w:pPr>
      <w:r>
        <w:rPr>
          <w:sz w:val="22"/>
          <w:szCs w:val="22"/>
        </w:rPr>
        <w:t xml:space="preserve">Growthpoint is a property investment holding company, which is classified as a Real Estate Investment Trust and is listed on the JSE. Growthpoint owns a property portfolio that consists of rentable retail, office and industrial space. The majority of Growthpoint’s properties are situated in Gauteng, with the remainder located in the Western Cape, KwaZulu-Natal and the Eastern Cape provinces of South Africa. </w:t>
      </w:r>
    </w:p>
    <w:p w:rsidR="00A71664" w:rsidRDefault="00A71664" w:rsidP="001912BC">
      <w:pPr>
        <w:spacing w:after="240"/>
        <w:ind w:left="454" w:right="454"/>
        <w:rPr>
          <w:rFonts w:ascii="Arial" w:hAnsi="Arial" w:cs="Arial"/>
        </w:rPr>
      </w:pPr>
      <w:r w:rsidRPr="001D3B82">
        <w:rPr>
          <w:rFonts w:ascii="Arial" w:hAnsi="Arial" w:cs="Arial"/>
        </w:rPr>
        <w:t xml:space="preserve">The target property is situated </w:t>
      </w:r>
      <w:r>
        <w:rPr>
          <w:rFonts w:ascii="Arial" w:hAnsi="Arial" w:cs="Arial"/>
        </w:rPr>
        <w:t xml:space="preserve">in </w:t>
      </w:r>
      <w:r w:rsidRPr="001D3B82">
        <w:rPr>
          <w:rFonts w:ascii="Arial" w:hAnsi="Arial" w:cs="Arial"/>
        </w:rPr>
        <w:t>Goodwood in the Western Cape Province. It comprises rentable retail space which is classified as a major regional centre.</w:t>
      </w:r>
    </w:p>
    <w:p w:rsidR="00A71664" w:rsidRPr="00553243" w:rsidRDefault="001912BC" w:rsidP="001912BC">
      <w:pPr>
        <w:pStyle w:val="Default"/>
        <w:spacing w:after="240"/>
        <w:ind w:left="454" w:right="454"/>
      </w:pPr>
      <w:r>
        <w:rPr>
          <w:b/>
          <w:bCs/>
          <w:sz w:val="22"/>
          <w:szCs w:val="22"/>
        </w:rPr>
        <w:t xml:space="preserve">Merger </w:t>
      </w:r>
      <w:r w:rsidR="00A71664">
        <w:rPr>
          <w:b/>
          <w:bCs/>
          <w:sz w:val="22"/>
          <w:szCs w:val="22"/>
        </w:rPr>
        <w:t>between Enx Group and</w:t>
      </w:r>
      <w:r>
        <w:rPr>
          <w:b/>
          <w:bCs/>
          <w:sz w:val="22"/>
          <w:szCs w:val="22"/>
        </w:rPr>
        <w:t xml:space="preserve"> Extract Group approved with condition</w:t>
      </w:r>
    </w:p>
    <w:p w:rsidR="008A7536" w:rsidRDefault="00A71664" w:rsidP="001912BC">
      <w:pPr>
        <w:pStyle w:val="Default"/>
        <w:spacing w:after="240"/>
        <w:ind w:left="454" w:right="454"/>
        <w:rPr>
          <w:sz w:val="22"/>
          <w:szCs w:val="22"/>
        </w:rPr>
      </w:pPr>
      <w:r>
        <w:rPr>
          <w:sz w:val="22"/>
          <w:szCs w:val="22"/>
        </w:rPr>
        <w:t xml:space="preserve">The </w:t>
      </w:r>
      <w:r w:rsidR="008A7536">
        <w:rPr>
          <w:sz w:val="22"/>
          <w:szCs w:val="22"/>
        </w:rPr>
        <w:t xml:space="preserve">merger </w:t>
      </w:r>
      <w:r>
        <w:rPr>
          <w:sz w:val="22"/>
          <w:szCs w:val="22"/>
        </w:rPr>
        <w:t>between Enx Group Limited (Enx) and E</w:t>
      </w:r>
      <w:r w:rsidR="008A7536">
        <w:rPr>
          <w:sz w:val="22"/>
          <w:szCs w:val="22"/>
        </w:rPr>
        <w:t xml:space="preserve">xtract Group Limited (Extract) has been conditionally approved by the Tribunal. </w:t>
      </w:r>
      <w:r w:rsidR="001912BC">
        <w:rPr>
          <w:sz w:val="22"/>
          <w:szCs w:val="22"/>
        </w:rPr>
        <w:t xml:space="preserve">In terms of the condition ENX will unbundle its shares to shareholders within 30 days of conclusion of the transaction. </w:t>
      </w:r>
    </w:p>
    <w:p w:rsidR="00A71664" w:rsidRDefault="00A71664" w:rsidP="001912BC">
      <w:pPr>
        <w:pStyle w:val="Default"/>
        <w:spacing w:after="240"/>
        <w:ind w:left="454" w:right="454"/>
        <w:rPr>
          <w:sz w:val="22"/>
          <w:szCs w:val="22"/>
        </w:rPr>
      </w:pPr>
      <w:r>
        <w:rPr>
          <w:sz w:val="22"/>
          <w:szCs w:val="22"/>
        </w:rPr>
        <w:t>Enx provides industrial energy equipment, consumables, related components and support services to a wide range of economic sectors in South Africa and sub-Saharan Africa. It serves a range of customers from heavy industrial, automotive, mining and construction groups to wholesalers, retailers, technology and telecommunication companies, banks and manufactures in other industries.</w:t>
      </w:r>
    </w:p>
    <w:p w:rsidR="00A71664" w:rsidRDefault="00A71664" w:rsidP="001912BC">
      <w:pPr>
        <w:pStyle w:val="Default"/>
        <w:spacing w:after="240"/>
        <w:ind w:left="454" w:right="454"/>
        <w:rPr>
          <w:sz w:val="22"/>
          <w:szCs w:val="22"/>
        </w:rPr>
      </w:pPr>
      <w:r>
        <w:rPr>
          <w:sz w:val="22"/>
          <w:szCs w:val="22"/>
        </w:rPr>
        <w:t>Extract provides opencast contract mining and plant rental services including drilling, blasting, load hauling and rehabilitation. It controls a number of companies, chief of which is MCC Contracts Pty Ltd (MCC).</w:t>
      </w:r>
    </w:p>
    <w:p w:rsidR="00A71664" w:rsidRDefault="00A71664" w:rsidP="001912BC">
      <w:pPr>
        <w:pStyle w:val="Default"/>
        <w:spacing w:after="240"/>
        <w:ind w:left="454" w:right="454"/>
        <w:rPr>
          <w:sz w:val="22"/>
          <w:szCs w:val="22"/>
        </w:rPr>
      </w:pPr>
      <w:r>
        <w:rPr>
          <w:sz w:val="22"/>
          <w:szCs w:val="22"/>
        </w:rPr>
        <w:t xml:space="preserve">MCC’s value added services include opencast mining expertise and services, short and long term leases with no impact on liquidity lines, full maintenance leases, services and maintenance plans, managed maintenance, engineering services, mine planning, live tracking and production tracing services, mine management and rehabilitation. </w:t>
      </w:r>
    </w:p>
    <w:p w:rsidR="00A71664" w:rsidRPr="00CF6FEA" w:rsidRDefault="00A71664" w:rsidP="001912BC">
      <w:pPr>
        <w:spacing w:after="240"/>
        <w:ind w:left="454" w:right="454"/>
        <w:jc w:val="both"/>
        <w:rPr>
          <w:rFonts w:ascii="Arial" w:hAnsi="Arial" w:cs="Arial"/>
          <w:b/>
        </w:rPr>
      </w:pPr>
      <w:r w:rsidRPr="00CF6FEA">
        <w:rPr>
          <w:rFonts w:ascii="Arial" w:hAnsi="Arial" w:cs="Arial"/>
          <w:b/>
        </w:rPr>
        <w:t>Main Street merger with Thebe Investment Corporation Pty Ltd</w:t>
      </w:r>
    </w:p>
    <w:p w:rsidR="00A71664" w:rsidRPr="00155C8D" w:rsidRDefault="00A71664" w:rsidP="001912BC">
      <w:pPr>
        <w:spacing w:after="240"/>
        <w:ind w:left="454" w:right="454"/>
        <w:jc w:val="both"/>
        <w:rPr>
          <w:rFonts w:ascii="Arial" w:hAnsi="Arial" w:cs="Arial"/>
        </w:rPr>
      </w:pPr>
      <w:r w:rsidRPr="00155C8D">
        <w:rPr>
          <w:rFonts w:ascii="Arial" w:hAnsi="Arial" w:cs="Arial"/>
        </w:rPr>
        <w:t xml:space="preserve">The Tribunal </w:t>
      </w:r>
      <w:r w:rsidR="008A7536">
        <w:rPr>
          <w:rFonts w:ascii="Arial" w:hAnsi="Arial" w:cs="Arial"/>
        </w:rPr>
        <w:t xml:space="preserve">has approved a </w:t>
      </w:r>
      <w:r w:rsidRPr="00155C8D">
        <w:rPr>
          <w:rFonts w:ascii="Arial" w:hAnsi="Arial" w:cs="Arial"/>
        </w:rPr>
        <w:t xml:space="preserve">merger between Main Street, established solely for the transaction, and Thebe Investment Corporation. </w:t>
      </w:r>
    </w:p>
    <w:p w:rsidR="00A71664" w:rsidRPr="00155C8D" w:rsidRDefault="00A71664" w:rsidP="001912BC">
      <w:pPr>
        <w:spacing w:after="240"/>
        <w:ind w:left="454" w:right="454"/>
        <w:jc w:val="both"/>
        <w:rPr>
          <w:rFonts w:ascii="Arial" w:hAnsi="Arial" w:cs="Arial"/>
        </w:rPr>
      </w:pPr>
      <w:r w:rsidRPr="00155C8D">
        <w:rPr>
          <w:rFonts w:ascii="Arial" w:hAnsi="Arial" w:cs="Arial"/>
        </w:rPr>
        <w:t xml:space="preserve">Thebe Investment Corporation is an investment holding company that manages investment portfolios in various sectors such as oil, power, tourism, media and a range of community development and transformation services among others. </w:t>
      </w:r>
    </w:p>
    <w:p w:rsidR="00A71664" w:rsidRDefault="00A71664" w:rsidP="001912BC">
      <w:pPr>
        <w:spacing w:after="240"/>
        <w:ind w:left="454" w:right="454"/>
        <w:rPr>
          <w:rFonts w:ascii="Arial" w:hAnsi="Arial" w:cs="Arial"/>
          <w:b/>
        </w:rPr>
      </w:pPr>
      <w:r>
        <w:rPr>
          <w:rFonts w:ascii="Arial" w:hAnsi="Arial" w:cs="Arial"/>
          <w:b/>
        </w:rPr>
        <w:t>Old Mutual Life Assurance Company merger with Kagiso Infrastructure Empowerment Fund</w:t>
      </w:r>
      <w:r w:rsidR="00B66470">
        <w:rPr>
          <w:rFonts w:ascii="Arial" w:hAnsi="Arial" w:cs="Arial"/>
          <w:b/>
        </w:rPr>
        <w:t xml:space="preserve"> approved</w:t>
      </w:r>
    </w:p>
    <w:p w:rsidR="00A71664" w:rsidRDefault="00B66470" w:rsidP="001912BC">
      <w:pPr>
        <w:spacing w:after="240"/>
        <w:ind w:left="454" w:right="454"/>
        <w:jc w:val="both"/>
        <w:rPr>
          <w:rFonts w:ascii="Arial" w:hAnsi="Arial" w:cs="Arial"/>
        </w:rPr>
      </w:pPr>
      <w:r>
        <w:rPr>
          <w:rFonts w:ascii="Arial" w:hAnsi="Arial" w:cs="Arial"/>
        </w:rPr>
        <w:t xml:space="preserve">The merger between </w:t>
      </w:r>
      <w:r w:rsidR="00A71664">
        <w:rPr>
          <w:rFonts w:ascii="Arial" w:hAnsi="Arial" w:cs="Arial"/>
        </w:rPr>
        <w:t xml:space="preserve">Old Mutual Life Assurance Company (South Africa) Limited (“OMLACSA”), acting </w:t>
      </w:r>
      <w:r>
        <w:rPr>
          <w:rFonts w:ascii="Arial" w:hAnsi="Arial" w:cs="Arial"/>
        </w:rPr>
        <w:t xml:space="preserve">on </w:t>
      </w:r>
      <w:r w:rsidR="00A71664">
        <w:rPr>
          <w:rFonts w:ascii="Arial" w:hAnsi="Arial" w:cs="Arial"/>
        </w:rPr>
        <w:t>behalf of the portfolio of assets</w:t>
      </w:r>
      <w:r>
        <w:rPr>
          <w:rFonts w:ascii="Arial" w:hAnsi="Arial" w:cs="Arial"/>
        </w:rPr>
        <w:t xml:space="preserve"> called the Ideas Managed Fund, and </w:t>
      </w:r>
      <w:r w:rsidR="00A71664">
        <w:rPr>
          <w:rFonts w:ascii="Arial" w:hAnsi="Arial" w:cs="Arial"/>
        </w:rPr>
        <w:t>Kagiso I</w:t>
      </w:r>
      <w:r>
        <w:rPr>
          <w:rFonts w:ascii="Arial" w:hAnsi="Arial" w:cs="Arial"/>
        </w:rPr>
        <w:t xml:space="preserve">nfrastructure Empowerment Fund has been approved without conditions. </w:t>
      </w:r>
    </w:p>
    <w:p w:rsidR="00A71664" w:rsidRDefault="00A71664" w:rsidP="001912BC">
      <w:pPr>
        <w:spacing w:after="240"/>
        <w:ind w:left="454" w:right="454"/>
        <w:jc w:val="both"/>
        <w:rPr>
          <w:rFonts w:ascii="Arial" w:hAnsi="Arial" w:cs="Arial"/>
        </w:rPr>
      </w:pPr>
      <w:r>
        <w:rPr>
          <w:rFonts w:ascii="Arial" w:hAnsi="Arial" w:cs="Arial"/>
        </w:rPr>
        <w:t xml:space="preserve">OMLACSA is a public company incorporated in accordance with the laws of South Africa. It controls a number of firms in South Africa including the Ideas Fund, which is a linked investment policy product of OMLACSA. </w:t>
      </w:r>
    </w:p>
    <w:p w:rsidR="00A71664" w:rsidRDefault="00A71664" w:rsidP="001912BC">
      <w:pPr>
        <w:spacing w:after="240"/>
        <w:ind w:left="454" w:right="454"/>
        <w:jc w:val="both"/>
        <w:rPr>
          <w:rFonts w:ascii="Arial" w:hAnsi="Arial" w:cs="Arial"/>
        </w:rPr>
      </w:pPr>
      <w:r>
        <w:rPr>
          <w:rFonts w:ascii="Arial" w:hAnsi="Arial" w:cs="Arial"/>
        </w:rPr>
        <w:t xml:space="preserve">The Kagiso Infrastructure Empowerment Fund is a registered trust and invests in economic infrastructure and renewable energy, whereas OMLACSA invests in a diverse portfolio of assets. </w:t>
      </w:r>
    </w:p>
    <w:p w:rsidR="00A71664" w:rsidRDefault="00A71664" w:rsidP="001912BC">
      <w:pPr>
        <w:spacing w:after="240"/>
        <w:ind w:left="454" w:right="454"/>
        <w:jc w:val="both"/>
        <w:rPr>
          <w:rFonts w:ascii="Arial" w:hAnsi="Arial" w:cs="Arial"/>
        </w:rPr>
      </w:pPr>
      <w:r>
        <w:rPr>
          <w:rFonts w:ascii="Arial" w:hAnsi="Arial" w:cs="Arial"/>
        </w:rPr>
        <w:t xml:space="preserve">The merger is relevant to the private equities investments market. </w:t>
      </w:r>
    </w:p>
    <w:p w:rsidR="00A71664" w:rsidRPr="00CF6FEA" w:rsidRDefault="00A71664" w:rsidP="001912BC">
      <w:pPr>
        <w:spacing w:after="240"/>
        <w:ind w:left="454" w:right="454"/>
        <w:jc w:val="both"/>
        <w:rPr>
          <w:rFonts w:ascii="Arial" w:hAnsi="Arial" w:cs="Arial"/>
          <w:b/>
        </w:rPr>
      </w:pPr>
      <w:r w:rsidRPr="00CF6FEA">
        <w:rPr>
          <w:rFonts w:ascii="Arial" w:hAnsi="Arial" w:cs="Arial"/>
          <w:b/>
        </w:rPr>
        <w:t>Merger involving provision of rentalable retail space</w:t>
      </w:r>
    </w:p>
    <w:p w:rsidR="00A71664" w:rsidRDefault="00A71664" w:rsidP="001912BC">
      <w:pPr>
        <w:spacing w:after="240"/>
        <w:ind w:left="454" w:right="454"/>
        <w:jc w:val="both"/>
        <w:rPr>
          <w:rFonts w:ascii="Arial" w:hAnsi="Arial" w:cs="Arial"/>
        </w:rPr>
      </w:pPr>
      <w:r>
        <w:rPr>
          <w:rFonts w:ascii="Arial" w:hAnsi="Arial" w:cs="Arial"/>
        </w:rPr>
        <w:t>The merger between Setso Property Fund and Sanlam Life Insurance in respect of Anstey</w:t>
      </w:r>
      <w:r w:rsidR="001912BC">
        <w:rPr>
          <w:rFonts w:ascii="Arial" w:hAnsi="Arial" w:cs="Arial"/>
        </w:rPr>
        <w:t xml:space="preserve">s Woolworths Letting Enterprise has been unconditionally approved. </w:t>
      </w:r>
      <w:r>
        <w:rPr>
          <w:rFonts w:ascii="Arial" w:hAnsi="Arial" w:cs="Arial"/>
        </w:rPr>
        <w:t xml:space="preserve"> </w:t>
      </w:r>
    </w:p>
    <w:p w:rsidR="00A71664" w:rsidRDefault="00A71664" w:rsidP="001912BC">
      <w:pPr>
        <w:spacing w:after="240"/>
        <w:ind w:left="454" w:right="454"/>
        <w:jc w:val="both"/>
        <w:rPr>
          <w:rFonts w:ascii="Arial" w:hAnsi="Arial" w:cs="Arial"/>
        </w:rPr>
      </w:pPr>
      <w:r>
        <w:rPr>
          <w:rFonts w:ascii="Arial" w:hAnsi="Arial" w:cs="Arial"/>
        </w:rPr>
        <w:t xml:space="preserve">Setso holds a portfolio of office and retail properties in areas such as Roodepoort, Sandton, Sunninghill, Benoni, Sandton and Hyde Park. </w:t>
      </w:r>
    </w:p>
    <w:p w:rsidR="00A71664" w:rsidRDefault="00A71664" w:rsidP="001912BC">
      <w:pPr>
        <w:spacing w:after="240"/>
        <w:ind w:left="454" w:right="454"/>
        <w:jc w:val="both"/>
        <w:rPr>
          <w:rFonts w:ascii="Arial" w:hAnsi="Arial" w:cs="Arial"/>
        </w:rPr>
      </w:pPr>
      <w:r>
        <w:rPr>
          <w:rFonts w:ascii="Arial" w:hAnsi="Arial" w:cs="Arial"/>
        </w:rPr>
        <w:t xml:space="preserve">The target property is a retail letting property located in the Johannesburg Central Business District. </w:t>
      </w:r>
    </w:p>
    <w:p w:rsidR="00A71664" w:rsidRPr="00CF6FEA" w:rsidRDefault="00A71664" w:rsidP="001912BC">
      <w:pPr>
        <w:spacing w:after="240"/>
        <w:ind w:left="454" w:right="454"/>
        <w:jc w:val="both"/>
        <w:rPr>
          <w:rFonts w:ascii="Arial" w:hAnsi="Arial" w:cs="Arial"/>
          <w:b/>
        </w:rPr>
      </w:pPr>
      <w:r>
        <w:rPr>
          <w:rFonts w:ascii="Arial" w:hAnsi="Arial" w:cs="Arial"/>
          <w:b/>
        </w:rPr>
        <w:t xml:space="preserve">Tribunal confirms </w:t>
      </w:r>
      <w:r w:rsidRPr="00CF6FEA">
        <w:rPr>
          <w:rFonts w:ascii="Arial" w:hAnsi="Arial" w:cs="Arial"/>
          <w:b/>
        </w:rPr>
        <w:t>Cape Bric</w:t>
      </w:r>
      <w:r>
        <w:rPr>
          <w:rFonts w:ascii="Arial" w:hAnsi="Arial" w:cs="Arial"/>
          <w:b/>
        </w:rPr>
        <w:t>k’s settlement agreement</w:t>
      </w:r>
      <w:r w:rsidRPr="00CF6FEA">
        <w:rPr>
          <w:rFonts w:ascii="Arial" w:hAnsi="Arial" w:cs="Arial"/>
          <w:b/>
        </w:rPr>
        <w:t xml:space="preserve"> for market allocation</w:t>
      </w:r>
    </w:p>
    <w:p w:rsidR="005D615A" w:rsidRPr="005D615A" w:rsidRDefault="00A71664" w:rsidP="001912BC">
      <w:pPr>
        <w:shd w:val="clear" w:color="auto" w:fill="FFFFFF"/>
        <w:spacing w:before="100" w:beforeAutospacing="1" w:after="100" w:afterAutospacing="1" w:line="240" w:lineRule="auto"/>
        <w:ind w:left="454" w:right="454"/>
      </w:pPr>
      <w:r>
        <w:rPr>
          <w:rFonts w:ascii="Arial" w:hAnsi="Arial" w:cs="Arial"/>
        </w:rPr>
        <w:t xml:space="preserve">The Tribunal has approved a </w:t>
      </w:r>
      <w:r w:rsidRPr="000B62FA">
        <w:rPr>
          <w:rFonts w:ascii="Arial" w:hAnsi="Arial" w:cs="Arial"/>
        </w:rPr>
        <w:t xml:space="preserve">R300 000 administrative penalty for </w:t>
      </w:r>
      <w:r w:rsidR="00B66470">
        <w:rPr>
          <w:rFonts w:ascii="Arial" w:hAnsi="Arial" w:cs="Arial"/>
        </w:rPr>
        <w:t xml:space="preserve">Good Hope Brick t/a </w:t>
      </w:r>
      <w:r w:rsidRPr="000B62FA">
        <w:rPr>
          <w:rFonts w:ascii="Arial" w:hAnsi="Arial" w:cs="Arial"/>
        </w:rPr>
        <w:t xml:space="preserve">Cape Brick </w:t>
      </w:r>
      <w:r w:rsidR="00B66470">
        <w:rPr>
          <w:rFonts w:ascii="Arial" w:hAnsi="Arial" w:cs="Arial"/>
        </w:rPr>
        <w:t xml:space="preserve">who has </w:t>
      </w:r>
      <w:r w:rsidR="005D615A">
        <w:rPr>
          <w:rFonts w:ascii="Times New Roman" w:eastAsia="Times New Roman" w:hAnsi="Times New Roman" w:cs="Times New Roman"/>
          <w:color w:val="333333"/>
          <w:sz w:val="24"/>
          <w:szCs w:val="24"/>
          <w:lang w:val="en-GB" w:eastAsia="en-ZA"/>
        </w:rPr>
        <w:t xml:space="preserve">admitted </w:t>
      </w:r>
      <w:r w:rsidR="005D615A" w:rsidRPr="005D615A">
        <w:rPr>
          <w:rFonts w:ascii="Times New Roman" w:eastAsia="Times New Roman" w:hAnsi="Times New Roman" w:cs="Times New Roman"/>
          <w:color w:val="333333"/>
          <w:sz w:val="24"/>
          <w:szCs w:val="24"/>
          <w:lang w:val="en-GB" w:eastAsia="en-ZA"/>
        </w:rPr>
        <w:t>allocating customers and fixing prices in the masonry brick market</w:t>
      </w:r>
      <w:r w:rsidR="00B66470">
        <w:rPr>
          <w:rFonts w:ascii="Times New Roman" w:eastAsia="Times New Roman" w:hAnsi="Times New Roman" w:cs="Times New Roman"/>
          <w:color w:val="333333"/>
          <w:sz w:val="24"/>
          <w:szCs w:val="24"/>
          <w:lang w:val="en-GB" w:eastAsia="en-ZA"/>
        </w:rPr>
        <w:t>.</w:t>
      </w:r>
      <w:r w:rsidR="005D615A" w:rsidRPr="005D615A">
        <w:rPr>
          <w:rFonts w:ascii="Times New Roman" w:eastAsia="Times New Roman" w:hAnsi="Times New Roman" w:cs="Times New Roman"/>
          <w:color w:val="333333"/>
          <w:sz w:val="24"/>
          <w:szCs w:val="24"/>
          <w:lang w:val="en-GB" w:eastAsia="en-ZA"/>
        </w:rPr>
        <w:t xml:space="preserve"> </w:t>
      </w:r>
    </w:p>
    <w:p w:rsidR="005D615A" w:rsidRDefault="005D615A" w:rsidP="001912BC">
      <w:pPr>
        <w:spacing w:after="240"/>
        <w:ind w:left="454" w:right="454"/>
        <w:jc w:val="both"/>
        <w:rPr>
          <w:rFonts w:ascii="Arial" w:hAnsi="Arial" w:cs="Arial"/>
        </w:rPr>
      </w:pPr>
      <w:r>
        <w:rPr>
          <w:rFonts w:ascii="Helvetica" w:hAnsi="Helvetica" w:cs="Helvetica"/>
          <w:color w:val="333333"/>
          <w:shd w:val="clear" w:color="auto" w:fill="FFFFFF"/>
        </w:rPr>
        <w:t>The matter dates back to 2012 when the Commission launched an investigation against Cape Brick, Columbia and Inca Concrete Products</w:t>
      </w:r>
      <w:r>
        <w:rPr>
          <w:rFonts w:ascii="Helvetica" w:hAnsi="Helvetica" w:cs="Helvetica"/>
          <w:color w:val="333333"/>
          <w:shd w:val="clear" w:color="auto" w:fill="FFFFFF"/>
        </w:rPr>
        <w:t xml:space="preserve">. </w:t>
      </w:r>
      <w:r>
        <w:rPr>
          <w:rFonts w:ascii="Helvetica" w:hAnsi="Helvetica" w:cs="Helvetica"/>
          <w:color w:val="333333"/>
          <w:shd w:val="clear" w:color="auto" w:fill="FFFFFF"/>
        </w:rPr>
        <w:t>The investigation revealed that the companies, being competitors in the market for brick manufacturing, had agreed to fix prices and to allocate customers of concrete and masonry products to each other</w:t>
      </w:r>
      <w:r w:rsidR="00B66470">
        <w:rPr>
          <w:rFonts w:ascii="Helvetica" w:hAnsi="Helvetica" w:cs="Helvetica"/>
          <w:color w:val="333333"/>
          <w:shd w:val="clear" w:color="auto" w:fill="FFFFFF"/>
        </w:rPr>
        <w:t xml:space="preserve"> from 2001 to 2011. </w:t>
      </w:r>
    </w:p>
    <w:p w:rsidR="00A71664" w:rsidRDefault="00A71664" w:rsidP="001912BC">
      <w:pPr>
        <w:spacing w:after="240"/>
        <w:ind w:left="454" w:right="454"/>
        <w:jc w:val="both"/>
        <w:rPr>
          <w:rFonts w:ascii="Arial" w:hAnsi="Arial" w:cs="Arial"/>
        </w:rPr>
      </w:pPr>
      <w:r>
        <w:rPr>
          <w:rFonts w:ascii="Arial" w:hAnsi="Arial" w:cs="Arial"/>
        </w:rPr>
        <w:t>Cape Brick is the last respondent in the complaint referral. Inca settled in December 2014 with regard to two complaints</w:t>
      </w:r>
      <w:r w:rsidR="00B66470">
        <w:rPr>
          <w:rFonts w:ascii="Arial" w:hAnsi="Arial" w:cs="Arial"/>
        </w:rPr>
        <w:t xml:space="preserve">. </w:t>
      </w:r>
      <w:r>
        <w:rPr>
          <w:rFonts w:ascii="Arial" w:hAnsi="Arial" w:cs="Arial"/>
        </w:rPr>
        <w:t>Columbia DBL</w:t>
      </w:r>
      <w:r w:rsidR="00B66470">
        <w:rPr>
          <w:rFonts w:ascii="Arial" w:hAnsi="Arial" w:cs="Arial"/>
        </w:rPr>
        <w:t xml:space="preserve"> was the leniency applicant and has since been liquidated. </w:t>
      </w:r>
    </w:p>
    <w:p w:rsidR="00A71664" w:rsidRDefault="00A71664" w:rsidP="001912BC">
      <w:pPr>
        <w:spacing w:after="240"/>
        <w:ind w:left="454" w:right="454"/>
        <w:jc w:val="both"/>
        <w:rPr>
          <w:rFonts w:ascii="Arial" w:hAnsi="Arial" w:cs="Arial"/>
        </w:rPr>
      </w:pPr>
    </w:p>
    <w:p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t xml:space="preserve">Issued by: </w:t>
      </w:r>
    </w:p>
    <w:p w:rsidR="00A71664" w:rsidRPr="00CF6FEA" w:rsidRDefault="00A71664" w:rsidP="001912BC">
      <w:pPr>
        <w:spacing w:after="0"/>
        <w:ind w:left="454" w:right="454"/>
        <w:jc w:val="both"/>
        <w:rPr>
          <w:rFonts w:ascii="Arial" w:hAnsi="Arial" w:cs="Arial"/>
          <w:color w:val="000000"/>
          <w:lang w:eastAsia="en-ZA"/>
        </w:rPr>
      </w:pPr>
      <w:r w:rsidRPr="00CF6FEA">
        <w:rPr>
          <w:rFonts w:ascii="Arial" w:hAnsi="Arial" w:cs="Arial"/>
          <w:color w:val="000000"/>
          <w:lang w:eastAsia="en-ZA"/>
        </w:rPr>
        <w:t xml:space="preserve">Chantelle Benjamin </w:t>
      </w:r>
    </w:p>
    <w:p w:rsidR="00A71664" w:rsidRPr="00CF6FEA" w:rsidRDefault="00A71664" w:rsidP="001912BC">
      <w:pPr>
        <w:spacing w:after="0"/>
        <w:ind w:left="454" w:right="454"/>
        <w:jc w:val="both"/>
        <w:rPr>
          <w:rFonts w:ascii="Arial" w:hAnsi="Arial" w:cs="Arial"/>
          <w:color w:val="000000"/>
          <w:lang w:eastAsia="en-ZA"/>
        </w:rPr>
      </w:pPr>
      <w:r w:rsidRPr="00CF6FEA">
        <w:rPr>
          <w:rFonts w:ascii="Arial" w:hAnsi="Arial" w:cs="Arial"/>
          <w:color w:val="000000"/>
          <w:lang w:eastAsia="en-ZA"/>
        </w:rPr>
        <w:t>Communications: Competition Tribunal   </w:t>
      </w:r>
    </w:p>
    <w:p w:rsidR="00A71664" w:rsidRPr="00CF6FEA" w:rsidRDefault="00A71664" w:rsidP="001912BC">
      <w:pPr>
        <w:spacing w:after="0"/>
        <w:ind w:left="454" w:right="454"/>
        <w:jc w:val="both"/>
        <w:rPr>
          <w:rFonts w:ascii="Arial" w:hAnsi="Arial" w:cs="Arial"/>
          <w:color w:val="000000"/>
          <w:lang w:eastAsia="en-ZA"/>
        </w:rPr>
      </w:pPr>
      <w:r w:rsidRPr="00CF6FEA">
        <w:rPr>
          <w:rFonts w:ascii="Arial" w:hAnsi="Arial" w:cs="Arial"/>
          <w:color w:val="000000"/>
          <w:lang w:eastAsia="en-ZA"/>
        </w:rPr>
        <w:t xml:space="preserve">Tel (012)394 1383                                      </w:t>
      </w:r>
    </w:p>
    <w:p w:rsidR="00A71664" w:rsidRPr="00CF6FEA" w:rsidRDefault="00A71664" w:rsidP="001912BC">
      <w:pPr>
        <w:spacing w:after="0"/>
        <w:ind w:left="454" w:right="454"/>
        <w:jc w:val="both"/>
        <w:rPr>
          <w:rFonts w:ascii="Arial" w:hAnsi="Arial" w:cs="Arial"/>
          <w:color w:val="000000"/>
          <w:lang w:eastAsia="en-ZA"/>
        </w:rPr>
      </w:pPr>
      <w:r w:rsidRPr="00CF6FEA">
        <w:rPr>
          <w:rFonts w:ascii="Arial" w:hAnsi="Arial" w:cs="Arial"/>
          <w:color w:val="000000"/>
          <w:lang w:eastAsia="en-ZA"/>
        </w:rPr>
        <w:t>Cell: +27 (0) 73 007 5603  </w:t>
      </w:r>
    </w:p>
    <w:p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t xml:space="preserve">Twitter: @comptrib                                        </w:t>
      </w:r>
    </w:p>
    <w:p w:rsidR="00A71664" w:rsidRPr="00CF6FEA" w:rsidRDefault="00A71664" w:rsidP="001912BC">
      <w:pPr>
        <w:spacing w:after="0"/>
        <w:ind w:left="454" w:right="454"/>
        <w:jc w:val="both"/>
        <w:rPr>
          <w:rFonts w:ascii="Arial" w:hAnsi="Arial" w:cs="Arial"/>
        </w:rPr>
      </w:pPr>
      <w:r w:rsidRPr="00CF6FEA">
        <w:rPr>
          <w:rFonts w:ascii="Arial" w:hAnsi="Arial" w:cs="Arial"/>
          <w:color w:val="000000"/>
          <w:lang w:eastAsia="en-ZA"/>
        </w:rPr>
        <w:t xml:space="preserve">E-Mail: </w:t>
      </w:r>
      <w:hyperlink r:id="rId5" w:history="1">
        <w:r w:rsidRPr="00CF6FEA">
          <w:rPr>
            <w:rStyle w:val="Hyperlink"/>
            <w:rFonts w:ascii="Arial" w:hAnsi="Arial" w:cs="Arial"/>
            <w:lang w:eastAsia="en-ZA"/>
          </w:rPr>
          <w:t>chantelleb@comptrib.co.za</w:t>
        </w:r>
      </w:hyperlink>
      <w:r w:rsidRPr="00CF6FEA">
        <w:rPr>
          <w:rFonts w:ascii="Arial" w:hAnsi="Arial" w:cs="Arial"/>
        </w:rPr>
        <w:t xml:space="preserve"> </w:t>
      </w:r>
    </w:p>
    <w:p w:rsidR="00A71664" w:rsidRPr="00CF6FEA" w:rsidRDefault="00A71664" w:rsidP="001912BC">
      <w:pPr>
        <w:spacing w:after="0"/>
        <w:ind w:left="454" w:right="454"/>
        <w:jc w:val="both"/>
        <w:rPr>
          <w:rFonts w:ascii="Arial" w:hAnsi="Arial" w:cs="Arial"/>
          <w:color w:val="000000"/>
        </w:rPr>
      </w:pPr>
    </w:p>
    <w:p w:rsidR="00A71664" w:rsidRPr="00CF6FEA" w:rsidRDefault="00A71664" w:rsidP="001912BC">
      <w:pPr>
        <w:spacing w:after="0"/>
        <w:ind w:left="454" w:right="454"/>
        <w:jc w:val="both"/>
        <w:rPr>
          <w:rFonts w:ascii="Arial" w:hAnsi="Arial" w:cs="Arial"/>
          <w:color w:val="000000"/>
        </w:rPr>
      </w:pPr>
    </w:p>
    <w:p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t>On Behalf Of:</w:t>
      </w:r>
    </w:p>
    <w:p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t>Lerato Motaung                                                   </w:t>
      </w:r>
    </w:p>
    <w:p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t xml:space="preserve">Registrar: Competition Tribunal                                         </w:t>
      </w:r>
    </w:p>
    <w:p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t xml:space="preserve">Tel: (012) 394 3355                                              </w:t>
      </w:r>
    </w:p>
    <w:p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t xml:space="preserve">Cell: +27 (0) 82 556 3221                                               </w:t>
      </w:r>
    </w:p>
    <w:p w:rsidR="00A71664" w:rsidRPr="00CF6FEA" w:rsidRDefault="00A71664" w:rsidP="001912BC">
      <w:pPr>
        <w:spacing w:after="0"/>
        <w:ind w:left="454" w:right="454"/>
        <w:jc w:val="both"/>
        <w:rPr>
          <w:rFonts w:ascii="Arial" w:hAnsi="Arial" w:cs="Arial"/>
        </w:rPr>
      </w:pPr>
      <w:r w:rsidRPr="00CF6FEA">
        <w:rPr>
          <w:rFonts w:ascii="Arial" w:hAnsi="Arial" w:cs="Arial"/>
          <w:color w:val="000000"/>
          <w:lang w:eastAsia="en-ZA"/>
        </w:rPr>
        <w:t xml:space="preserve">E-Mail: </w:t>
      </w:r>
      <w:hyperlink r:id="rId6" w:history="1">
        <w:r w:rsidRPr="00CF6FEA">
          <w:rPr>
            <w:rStyle w:val="Hyperlink"/>
            <w:rFonts w:ascii="Arial" w:hAnsi="Arial" w:cs="Arial"/>
            <w:lang w:eastAsia="en-ZA"/>
          </w:rPr>
          <w:t>LeratoM@comptrib.co.za</w:t>
        </w:r>
      </w:hyperlink>
    </w:p>
    <w:p w:rsidR="00C35EB2" w:rsidRDefault="00B96447"/>
    <w:sectPr w:rsidR="00C35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664"/>
    <w:rsid w:val="001912BC"/>
    <w:rsid w:val="003C165A"/>
    <w:rsid w:val="00482491"/>
    <w:rsid w:val="005D615A"/>
    <w:rsid w:val="00754D44"/>
    <w:rsid w:val="008A7536"/>
    <w:rsid w:val="00A71664"/>
    <w:rsid w:val="00B664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3C473-C49D-4965-9183-1E3283CD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6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166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71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716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709826">
      <w:bodyDiv w:val="1"/>
      <w:marLeft w:val="0"/>
      <w:marRight w:val="0"/>
      <w:marTop w:val="0"/>
      <w:marBottom w:val="0"/>
      <w:divBdr>
        <w:top w:val="none" w:sz="0" w:space="0" w:color="auto"/>
        <w:left w:val="none" w:sz="0" w:space="0" w:color="auto"/>
        <w:bottom w:val="none" w:sz="0" w:space="0" w:color="auto"/>
        <w:right w:val="none" w:sz="0" w:space="0" w:color="auto"/>
      </w:divBdr>
      <w:divsChild>
        <w:div w:id="1466854443">
          <w:marLeft w:val="0"/>
          <w:marRight w:val="0"/>
          <w:marTop w:val="0"/>
          <w:marBottom w:val="0"/>
          <w:divBdr>
            <w:top w:val="none" w:sz="0" w:space="0" w:color="auto"/>
            <w:left w:val="none" w:sz="0" w:space="0" w:color="auto"/>
            <w:bottom w:val="none" w:sz="0" w:space="0" w:color="auto"/>
            <w:right w:val="none" w:sz="0" w:space="0" w:color="auto"/>
          </w:divBdr>
        </w:div>
        <w:div w:id="1531869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AlistairV\AppData\Local\Microsoft\Windows\Temporary%20Internet%20Files\Content.Outlook\HMBET88G\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1</cp:revision>
  <dcterms:created xsi:type="dcterms:W3CDTF">2017-08-16T13:26:00Z</dcterms:created>
  <dcterms:modified xsi:type="dcterms:W3CDTF">2017-08-16T14:03:00Z</dcterms:modified>
</cp:coreProperties>
</file>