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586" w:rsidRPr="00B0166C" w:rsidRDefault="00104586" w:rsidP="00841536">
      <w:pPr>
        <w:spacing w:after="0" w:line="240" w:lineRule="auto"/>
        <w:ind w:left="340" w:right="340"/>
        <w:jc w:val="center"/>
        <w:rPr>
          <w:rFonts w:ascii="Arial" w:hAnsi="Arial" w:cs="Arial"/>
          <w:b/>
        </w:rPr>
      </w:pPr>
      <w:r w:rsidRPr="00B0166C">
        <w:rPr>
          <w:rFonts w:ascii="Arial" w:hAnsi="Arial" w:cs="Arial"/>
          <w:b/>
          <w:noProof/>
          <w:lang w:eastAsia="en-ZA"/>
        </w:rPr>
        <w:drawing>
          <wp:inline distT="0" distB="0" distL="0" distR="0" wp14:anchorId="20EB36D8" wp14:editId="7AA3B2DD">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104586" w:rsidRPr="00B0166C" w:rsidRDefault="00104586" w:rsidP="00841536">
      <w:pPr>
        <w:spacing w:after="0" w:line="240" w:lineRule="auto"/>
        <w:ind w:left="340" w:right="340"/>
        <w:jc w:val="both"/>
        <w:rPr>
          <w:rFonts w:ascii="Arial" w:hAnsi="Arial" w:cs="Arial"/>
          <w:b/>
        </w:rPr>
      </w:pPr>
    </w:p>
    <w:p w:rsidR="00104586" w:rsidRPr="00B0166C" w:rsidRDefault="00104586" w:rsidP="00841536">
      <w:pPr>
        <w:spacing w:after="0" w:line="240" w:lineRule="auto"/>
        <w:ind w:left="340" w:right="340"/>
        <w:jc w:val="both"/>
        <w:rPr>
          <w:rFonts w:ascii="Arial" w:hAnsi="Arial" w:cs="Arial"/>
          <w:b/>
        </w:rPr>
      </w:pPr>
    </w:p>
    <w:p w:rsidR="00104586" w:rsidRPr="00B0166C" w:rsidRDefault="00104586" w:rsidP="00841536">
      <w:pPr>
        <w:spacing w:after="0" w:line="240" w:lineRule="auto"/>
        <w:ind w:left="340" w:right="340"/>
        <w:jc w:val="both"/>
        <w:rPr>
          <w:rFonts w:ascii="Arial" w:hAnsi="Arial" w:cs="Arial"/>
          <w:b/>
        </w:rPr>
      </w:pPr>
    </w:p>
    <w:p w:rsidR="00104586" w:rsidRPr="00B0166C" w:rsidRDefault="00A57A82" w:rsidP="00841536">
      <w:pPr>
        <w:spacing w:after="0" w:line="240" w:lineRule="auto"/>
        <w:ind w:left="340" w:right="340"/>
        <w:jc w:val="both"/>
        <w:rPr>
          <w:rFonts w:ascii="Arial" w:hAnsi="Arial" w:cs="Arial"/>
          <w:b/>
        </w:rPr>
      </w:pPr>
      <w:r>
        <w:rPr>
          <w:rFonts w:ascii="Arial" w:hAnsi="Arial" w:cs="Arial"/>
          <w:b/>
        </w:rPr>
        <w:t xml:space="preserve">OUTCOME OF </w:t>
      </w:r>
      <w:r w:rsidR="00104586">
        <w:rPr>
          <w:rFonts w:ascii="Arial" w:hAnsi="Arial" w:cs="Arial"/>
          <w:b/>
        </w:rPr>
        <w:t xml:space="preserve">TRIBUNAL MERGER HEARING </w:t>
      </w:r>
      <w:r w:rsidR="00104586" w:rsidRPr="00B0166C">
        <w:rPr>
          <w:rFonts w:ascii="Arial" w:hAnsi="Arial" w:cs="Arial"/>
          <w:b/>
        </w:rPr>
        <w:t>- WEDNESDAY</w:t>
      </w:r>
      <w:r w:rsidR="00104586">
        <w:rPr>
          <w:rFonts w:ascii="Arial" w:hAnsi="Arial" w:cs="Arial"/>
          <w:b/>
        </w:rPr>
        <w:t>, 17 MAY 2017</w:t>
      </w:r>
    </w:p>
    <w:p w:rsidR="00104586" w:rsidRPr="00B0166C" w:rsidRDefault="00104586" w:rsidP="00841536">
      <w:pPr>
        <w:spacing w:after="0" w:line="240" w:lineRule="auto"/>
        <w:ind w:left="340" w:right="340"/>
        <w:jc w:val="both"/>
        <w:rPr>
          <w:rFonts w:ascii="Arial" w:hAnsi="Arial" w:cs="Arial"/>
          <w:b/>
        </w:rPr>
      </w:pPr>
    </w:p>
    <w:p w:rsidR="00104586" w:rsidRPr="00B0166C" w:rsidRDefault="00104586" w:rsidP="00841536">
      <w:pPr>
        <w:spacing w:after="0" w:line="240" w:lineRule="auto"/>
        <w:ind w:left="340" w:right="340"/>
        <w:jc w:val="both"/>
        <w:rPr>
          <w:rFonts w:ascii="Arial" w:hAnsi="Arial" w:cs="Arial"/>
          <w:b/>
        </w:rPr>
      </w:pPr>
    </w:p>
    <w:p w:rsidR="00104586" w:rsidRPr="00B0166C" w:rsidRDefault="00104586" w:rsidP="00841536">
      <w:pPr>
        <w:spacing w:after="0" w:line="240" w:lineRule="auto"/>
        <w:ind w:left="340" w:right="340"/>
        <w:jc w:val="both"/>
        <w:rPr>
          <w:rFonts w:ascii="Arial" w:hAnsi="Arial" w:cs="Arial"/>
        </w:rPr>
      </w:pPr>
    </w:p>
    <w:tbl>
      <w:tblPr>
        <w:tblStyle w:val="TableGrid"/>
        <w:tblW w:w="9350"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2105"/>
        <w:gridCol w:w="2808"/>
        <w:gridCol w:w="2550"/>
        <w:gridCol w:w="1887"/>
      </w:tblGrid>
      <w:tr w:rsidR="00085BB7" w:rsidRPr="00B0166C" w:rsidTr="00A57A82">
        <w:trPr>
          <w:trHeight w:val="972"/>
        </w:trPr>
        <w:tc>
          <w:tcPr>
            <w:tcW w:w="2105" w:type="dxa"/>
            <w:shd w:val="clear" w:color="auto" w:fill="996633"/>
          </w:tcPr>
          <w:p w:rsidR="00085BB7" w:rsidRPr="00B0166C" w:rsidRDefault="00085BB7" w:rsidP="00841536">
            <w:pPr>
              <w:ind w:left="340" w:right="340"/>
              <w:jc w:val="both"/>
              <w:rPr>
                <w:rFonts w:ascii="Arial" w:hAnsi="Arial" w:cs="Arial"/>
                <w:color w:val="FFFFFF" w:themeColor="background1"/>
              </w:rPr>
            </w:pPr>
            <w:r w:rsidRPr="00B0166C">
              <w:rPr>
                <w:rFonts w:ascii="Arial" w:hAnsi="Arial" w:cs="Arial"/>
                <w:color w:val="FFFFFF" w:themeColor="background1"/>
              </w:rPr>
              <w:t>Type of matter</w:t>
            </w:r>
          </w:p>
        </w:tc>
        <w:tc>
          <w:tcPr>
            <w:tcW w:w="2808" w:type="dxa"/>
            <w:shd w:val="clear" w:color="auto" w:fill="996633"/>
          </w:tcPr>
          <w:p w:rsidR="00085BB7" w:rsidRPr="00B0166C" w:rsidRDefault="00085BB7" w:rsidP="00841536">
            <w:pPr>
              <w:ind w:left="340" w:right="340"/>
              <w:jc w:val="both"/>
              <w:rPr>
                <w:rFonts w:ascii="Arial" w:hAnsi="Arial" w:cs="Arial"/>
                <w:color w:val="FFFFFF" w:themeColor="background1"/>
              </w:rPr>
            </w:pPr>
            <w:r w:rsidRPr="00B0166C">
              <w:rPr>
                <w:rFonts w:ascii="Arial" w:hAnsi="Arial" w:cs="Arial"/>
                <w:color w:val="FFFFFF" w:themeColor="background1"/>
              </w:rPr>
              <w:t>Parties involved</w:t>
            </w:r>
          </w:p>
        </w:tc>
        <w:tc>
          <w:tcPr>
            <w:tcW w:w="2550" w:type="dxa"/>
            <w:shd w:val="clear" w:color="auto" w:fill="996633"/>
          </w:tcPr>
          <w:p w:rsidR="00085BB7" w:rsidRPr="00B0166C" w:rsidRDefault="00085BB7" w:rsidP="00841536">
            <w:pPr>
              <w:ind w:left="340" w:right="340"/>
              <w:jc w:val="both"/>
              <w:rPr>
                <w:rFonts w:ascii="Arial" w:hAnsi="Arial" w:cs="Arial"/>
                <w:color w:val="FFFFFF" w:themeColor="background1"/>
              </w:rPr>
            </w:pPr>
            <w:r w:rsidRPr="00B0166C">
              <w:rPr>
                <w:rFonts w:ascii="Arial" w:hAnsi="Arial" w:cs="Arial"/>
                <w:color w:val="FFFFFF" w:themeColor="background1"/>
              </w:rPr>
              <w:t>Competition Commission’s recommendation to Tribunal</w:t>
            </w:r>
          </w:p>
        </w:tc>
        <w:tc>
          <w:tcPr>
            <w:tcW w:w="1887" w:type="dxa"/>
            <w:shd w:val="clear" w:color="auto" w:fill="996633"/>
          </w:tcPr>
          <w:p w:rsidR="00085BB7" w:rsidRPr="00B0166C" w:rsidRDefault="00085BB7" w:rsidP="00841536">
            <w:pPr>
              <w:ind w:left="340" w:right="340"/>
              <w:jc w:val="both"/>
              <w:rPr>
                <w:rFonts w:ascii="Arial" w:hAnsi="Arial" w:cs="Arial"/>
                <w:color w:val="FFFFFF" w:themeColor="background1"/>
              </w:rPr>
            </w:pPr>
            <w:r>
              <w:rPr>
                <w:rFonts w:ascii="Arial" w:hAnsi="Arial" w:cs="Arial"/>
                <w:color w:val="FFFFFF" w:themeColor="background1"/>
              </w:rPr>
              <w:t>Tribunal decision</w:t>
            </w:r>
          </w:p>
        </w:tc>
      </w:tr>
      <w:tr w:rsidR="00085BB7" w:rsidRPr="00B0166C" w:rsidTr="00A57A82">
        <w:trPr>
          <w:trHeight w:val="493"/>
        </w:trPr>
        <w:tc>
          <w:tcPr>
            <w:tcW w:w="2105" w:type="dxa"/>
          </w:tcPr>
          <w:p w:rsidR="00085BB7" w:rsidRDefault="00085BB7" w:rsidP="00841536">
            <w:pPr>
              <w:ind w:left="340" w:right="340"/>
              <w:jc w:val="both"/>
              <w:rPr>
                <w:rFonts w:ascii="Arial" w:hAnsi="Arial" w:cs="Arial"/>
              </w:rPr>
            </w:pPr>
            <w:r>
              <w:rPr>
                <w:rFonts w:ascii="Arial" w:hAnsi="Arial" w:cs="Arial"/>
              </w:rPr>
              <w:t xml:space="preserve">Large merger </w:t>
            </w:r>
          </w:p>
        </w:tc>
        <w:tc>
          <w:tcPr>
            <w:tcW w:w="2808" w:type="dxa"/>
          </w:tcPr>
          <w:p w:rsidR="00085BB7" w:rsidRPr="00A57A82" w:rsidRDefault="00085BB7" w:rsidP="00841536">
            <w:pPr>
              <w:ind w:left="340" w:right="340"/>
              <w:jc w:val="both"/>
              <w:rPr>
                <w:rFonts w:ascii="Arial" w:hAnsi="Arial" w:cs="Arial"/>
                <w:color w:val="000000"/>
              </w:rPr>
            </w:pPr>
            <w:r w:rsidRPr="00A57A82">
              <w:rPr>
                <w:rFonts w:ascii="Arial" w:hAnsi="Arial" w:cs="Arial"/>
                <w:color w:val="000000"/>
              </w:rPr>
              <w:t>K2015356066 (SA) (Pty) Ltd And The Business of ASA Metal (Pty) Ltd</w:t>
            </w:r>
          </w:p>
        </w:tc>
        <w:tc>
          <w:tcPr>
            <w:tcW w:w="2550" w:type="dxa"/>
          </w:tcPr>
          <w:p w:rsidR="00085BB7" w:rsidRDefault="00085BB7" w:rsidP="00841536">
            <w:pPr>
              <w:ind w:left="340" w:right="340"/>
              <w:jc w:val="both"/>
              <w:rPr>
                <w:rFonts w:ascii="Arial" w:hAnsi="Arial" w:cs="Arial"/>
              </w:rPr>
            </w:pPr>
            <w:r>
              <w:rPr>
                <w:rFonts w:ascii="Arial" w:hAnsi="Arial" w:cs="Arial"/>
              </w:rPr>
              <w:t>Approve without conditions</w:t>
            </w:r>
          </w:p>
        </w:tc>
        <w:tc>
          <w:tcPr>
            <w:tcW w:w="1887" w:type="dxa"/>
          </w:tcPr>
          <w:p w:rsidR="00085BB7" w:rsidRDefault="00085BB7" w:rsidP="00841536">
            <w:pPr>
              <w:ind w:left="340" w:right="340"/>
              <w:jc w:val="both"/>
              <w:rPr>
                <w:rFonts w:ascii="Arial" w:hAnsi="Arial" w:cs="Arial"/>
              </w:rPr>
            </w:pPr>
            <w:r>
              <w:rPr>
                <w:rFonts w:ascii="Arial" w:hAnsi="Arial" w:cs="Arial"/>
              </w:rPr>
              <w:t>Approval without conditions</w:t>
            </w:r>
          </w:p>
        </w:tc>
      </w:tr>
      <w:tr w:rsidR="00085BB7" w:rsidRPr="00B0166C" w:rsidTr="00A57A82">
        <w:trPr>
          <w:trHeight w:val="493"/>
        </w:trPr>
        <w:tc>
          <w:tcPr>
            <w:tcW w:w="2105" w:type="dxa"/>
          </w:tcPr>
          <w:p w:rsidR="00085BB7" w:rsidRDefault="00085BB7" w:rsidP="00841536">
            <w:pPr>
              <w:ind w:left="340" w:right="340"/>
              <w:jc w:val="both"/>
              <w:rPr>
                <w:rFonts w:ascii="Arial" w:hAnsi="Arial" w:cs="Arial"/>
              </w:rPr>
            </w:pPr>
            <w:r>
              <w:rPr>
                <w:rFonts w:ascii="Arial" w:hAnsi="Arial" w:cs="Arial"/>
              </w:rPr>
              <w:t>Large merger</w:t>
            </w:r>
          </w:p>
        </w:tc>
        <w:tc>
          <w:tcPr>
            <w:tcW w:w="2808" w:type="dxa"/>
          </w:tcPr>
          <w:p w:rsidR="00085BB7" w:rsidRPr="00A57A82" w:rsidRDefault="00A57A82" w:rsidP="00841536">
            <w:pPr>
              <w:ind w:left="340" w:right="340"/>
              <w:jc w:val="both"/>
              <w:rPr>
                <w:rFonts w:ascii="Arial" w:hAnsi="Arial" w:cs="Arial"/>
                <w:color w:val="000000"/>
              </w:rPr>
            </w:pPr>
            <w:r w:rsidRPr="00A57A82">
              <w:rPr>
                <w:rFonts w:ascii="Arial" w:hAnsi="Arial" w:cs="Arial"/>
                <w:color w:val="000000"/>
              </w:rPr>
              <w:t>SacO</w:t>
            </w:r>
            <w:r w:rsidR="00085BB7" w:rsidRPr="00A57A82">
              <w:rPr>
                <w:rFonts w:ascii="Arial" w:hAnsi="Arial" w:cs="Arial"/>
                <w:color w:val="000000"/>
              </w:rPr>
              <w:t xml:space="preserve">il Holdings Ltd And </w:t>
            </w:r>
            <w:proofErr w:type="spellStart"/>
            <w:r>
              <w:rPr>
                <w:rFonts w:ascii="Arial" w:hAnsi="Arial" w:cs="Arial"/>
                <w:color w:val="000000"/>
              </w:rPr>
              <w:t>Phembani</w:t>
            </w:r>
            <w:proofErr w:type="spellEnd"/>
            <w:r>
              <w:rPr>
                <w:rFonts w:ascii="Arial" w:hAnsi="Arial" w:cs="Arial"/>
                <w:color w:val="000000"/>
              </w:rPr>
              <w:t xml:space="preserve"> Oil (PF)</w:t>
            </w:r>
            <w:r w:rsidR="00085BB7" w:rsidRPr="00A57A82">
              <w:rPr>
                <w:rFonts w:ascii="Arial" w:hAnsi="Arial" w:cs="Arial"/>
                <w:color w:val="000000"/>
              </w:rPr>
              <w:t xml:space="preserve"> (Pty) Ltd </w:t>
            </w:r>
          </w:p>
        </w:tc>
        <w:tc>
          <w:tcPr>
            <w:tcW w:w="2550" w:type="dxa"/>
          </w:tcPr>
          <w:p w:rsidR="00085BB7" w:rsidRDefault="00085BB7" w:rsidP="00841536">
            <w:pPr>
              <w:ind w:left="340" w:right="340"/>
              <w:jc w:val="both"/>
              <w:rPr>
                <w:rFonts w:ascii="Arial" w:hAnsi="Arial" w:cs="Arial"/>
              </w:rPr>
            </w:pPr>
            <w:r>
              <w:rPr>
                <w:rFonts w:ascii="Arial" w:hAnsi="Arial" w:cs="Arial"/>
              </w:rPr>
              <w:t>Approve without conditions</w:t>
            </w:r>
          </w:p>
        </w:tc>
        <w:tc>
          <w:tcPr>
            <w:tcW w:w="1887" w:type="dxa"/>
          </w:tcPr>
          <w:p w:rsidR="00085BB7" w:rsidRDefault="00085BB7" w:rsidP="00841536">
            <w:pPr>
              <w:ind w:left="340" w:right="340"/>
              <w:jc w:val="both"/>
              <w:rPr>
                <w:rFonts w:ascii="Arial" w:hAnsi="Arial" w:cs="Arial"/>
              </w:rPr>
            </w:pPr>
            <w:r>
              <w:rPr>
                <w:rFonts w:ascii="Arial" w:hAnsi="Arial" w:cs="Arial"/>
              </w:rPr>
              <w:t>Approval without conditions</w:t>
            </w:r>
          </w:p>
        </w:tc>
      </w:tr>
      <w:tr w:rsidR="00085BB7" w:rsidRPr="00B0166C" w:rsidTr="00A57A82">
        <w:trPr>
          <w:trHeight w:val="493"/>
        </w:trPr>
        <w:tc>
          <w:tcPr>
            <w:tcW w:w="2105" w:type="dxa"/>
          </w:tcPr>
          <w:p w:rsidR="00085BB7" w:rsidRDefault="00085BB7" w:rsidP="00841536">
            <w:pPr>
              <w:ind w:left="340" w:right="340"/>
              <w:jc w:val="both"/>
              <w:rPr>
                <w:rFonts w:ascii="Arial" w:hAnsi="Arial" w:cs="Arial"/>
              </w:rPr>
            </w:pPr>
            <w:r>
              <w:rPr>
                <w:rFonts w:ascii="Arial" w:hAnsi="Arial" w:cs="Arial"/>
              </w:rPr>
              <w:t xml:space="preserve">Large merger </w:t>
            </w:r>
          </w:p>
        </w:tc>
        <w:tc>
          <w:tcPr>
            <w:tcW w:w="2808" w:type="dxa"/>
          </w:tcPr>
          <w:p w:rsidR="00085BB7" w:rsidRPr="00A57A82" w:rsidRDefault="00085BB7" w:rsidP="00841536">
            <w:pPr>
              <w:ind w:left="340" w:right="340"/>
              <w:jc w:val="both"/>
              <w:rPr>
                <w:rFonts w:ascii="Arial" w:hAnsi="Arial" w:cs="Arial"/>
                <w:color w:val="000000"/>
              </w:rPr>
            </w:pPr>
            <w:r w:rsidRPr="00A57A82">
              <w:rPr>
                <w:rFonts w:ascii="Arial" w:hAnsi="Arial" w:cs="Arial"/>
                <w:color w:val="000000"/>
              </w:rPr>
              <w:t>Dimension Data (Pty) Ltd And MWEB Connect (Pty) Ltd</w:t>
            </w:r>
          </w:p>
        </w:tc>
        <w:tc>
          <w:tcPr>
            <w:tcW w:w="2550" w:type="dxa"/>
          </w:tcPr>
          <w:p w:rsidR="00085BB7" w:rsidRDefault="00085BB7" w:rsidP="00841536">
            <w:pPr>
              <w:ind w:left="340" w:right="340"/>
              <w:jc w:val="both"/>
              <w:rPr>
                <w:rFonts w:ascii="Arial" w:hAnsi="Arial" w:cs="Arial"/>
              </w:rPr>
            </w:pPr>
            <w:r>
              <w:rPr>
                <w:rFonts w:ascii="Arial" w:hAnsi="Arial" w:cs="Arial"/>
              </w:rPr>
              <w:t>Approve with conditions</w:t>
            </w:r>
          </w:p>
        </w:tc>
        <w:tc>
          <w:tcPr>
            <w:tcW w:w="1887" w:type="dxa"/>
          </w:tcPr>
          <w:p w:rsidR="00085BB7" w:rsidRDefault="00CB4FB5" w:rsidP="00841536">
            <w:pPr>
              <w:ind w:left="340" w:right="340"/>
              <w:jc w:val="both"/>
              <w:rPr>
                <w:rFonts w:ascii="Arial" w:hAnsi="Arial" w:cs="Arial"/>
              </w:rPr>
            </w:pPr>
            <w:r>
              <w:rPr>
                <w:rFonts w:ascii="Arial" w:hAnsi="Arial" w:cs="Arial"/>
              </w:rPr>
              <w:t>Approved with conditions</w:t>
            </w:r>
          </w:p>
        </w:tc>
      </w:tr>
      <w:tr w:rsidR="00085BB7" w:rsidRPr="00B0166C" w:rsidTr="00A57A82">
        <w:trPr>
          <w:trHeight w:val="493"/>
        </w:trPr>
        <w:tc>
          <w:tcPr>
            <w:tcW w:w="2105" w:type="dxa"/>
          </w:tcPr>
          <w:p w:rsidR="00085BB7" w:rsidRDefault="00085BB7" w:rsidP="00841536">
            <w:pPr>
              <w:ind w:left="340" w:right="340"/>
              <w:jc w:val="both"/>
              <w:rPr>
                <w:rFonts w:ascii="Arial" w:hAnsi="Arial" w:cs="Arial"/>
              </w:rPr>
            </w:pPr>
            <w:r>
              <w:rPr>
                <w:rFonts w:ascii="Arial" w:hAnsi="Arial" w:cs="Arial"/>
              </w:rPr>
              <w:t xml:space="preserve">Large merger </w:t>
            </w:r>
          </w:p>
        </w:tc>
        <w:tc>
          <w:tcPr>
            <w:tcW w:w="2808" w:type="dxa"/>
          </w:tcPr>
          <w:p w:rsidR="00085BB7" w:rsidRPr="00A57A82" w:rsidRDefault="00085BB7" w:rsidP="00841536">
            <w:pPr>
              <w:ind w:left="340" w:right="340"/>
              <w:jc w:val="both"/>
              <w:rPr>
                <w:rFonts w:ascii="Arial" w:hAnsi="Arial" w:cs="Arial"/>
                <w:color w:val="000000"/>
              </w:rPr>
            </w:pPr>
            <w:r w:rsidRPr="00A57A82">
              <w:rPr>
                <w:rFonts w:ascii="Arial" w:hAnsi="Arial" w:cs="Arial"/>
                <w:color w:val="000000"/>
              </w:rPr>
              <w:t>Eastern Platinum Limited And The Pandora Joint Venture</w:t>
            </w:r>
          </w:p>
        </w:tc>
        <w:tc>
          <w:tcPr>
            <w:tcW w:w="2550" w:type="dxa"/>
          </w:tcPr>
          <w:p w:rsidR="00085BB7" w:rsidRDefault="00085BB7" w:rsidP="00841536">
            <w:pPr>
              <w:ind w:left="340" w:right="340"/>
              <w:jc w:val="both"/>
              <w:rPr>
                <w:rFonts w:ascii="Arial" w:hAnsi="Arial" w:cs="Arial"/>
              </w:rPr>
            </w:pPr>
            <w:r>
              <w:rPr>
                <w:rFonts w:ascii="Arial" w:hAnsi="Arial" w:cs="Arial"/>
              </w:rPr>
              <w:t xml:space="preserve">Approve without conditions </w:t>
            </w:r>
          </w:p>
        </w:tc>
        <w:tc>
          <w:tcPr>
            <w:tcW w:w="1887" w:type="dxa"/>
          </w:tcPr>
          <w:p w:rsidR="00085BB7" w:rsidRDefault="00085BB7" w:rsidP="00841536">
            <w:pPr>
              <w:ind w:left="340" w:right="340"/>
              <w:jc w:val="both"/>
              <w:rPr>
                <w:rFonts w:ascii="Arial" w:hAnsi="Arial" w:cs="Arial"/>
              </w:rPr>
            </w:pPr>
            <w:r>
              <w:rPr>
                <w:rFonts w:ascii="Arial" w:hAnsi="Arial" w:cs="Arial"/>
              </w:rPr>
              <w:t>Approval without conditions</w:t>
            </w:r>
          </w:p>
        </w:tc>
      </w:tr>
    </w:tbl>
    <w:p w:rsidR="00104586" w:rsidRDefault="00104586" w:rsidP="00841536">
      <w:pPr>
        <w:autoSpaceDE w:val="0"/>
        <w:autoSpaceDN w:val="0"/>
        <w:spacing w:after="0" w:line="240" w:lineRule="auto"/>
        <w:ind w:left="340" w:right="340"/>
        <w:contextualSpacing/>
        <w:jc w:val="both"/>
        <w:rPr>
          <w:rFonts w:ascii="Arial" w:eastAsia="Calibri" w:hAnsi="Arial" w:cs="Arial"/>
          <w:b/>
        </w:rPr>
      </w:pPr>
    </w:p>
    <w:p w:rsidR="00104586" w:rsidRPr="00181989" w:rsidRDefault="00085BB7" w:rsidP="00841536">
      <w:pPr>
        <w:autoSpaceDE w:val="0"/>
        <w:autoSpaceDN w:val="0"/>
        <w:spacing w:after="0" w:line="240" w:lineRule="auto"/>
        <w:ind w:left="340" w:right="340"/>
        <w:contextualSpacing/>
        <w:jc w:val="both"/>
        <w:rPr>
          <w:rFonts w:ascii="Arial" w:hAnsi="Arial" w:cs="Arial"/>
          <w:b/>
          <w:color w:val="000000"/>
        </w:rPr>
      </w:pPr>
      <w:r w:rsidRPr="00181989">
        <w:rPr>
          <w:rFonts w:ascii="Arial" w:hAnsi="Arial" w:cs="Arial"/>
          <w:b/>
          <w:color w:val="000000"/>
        </w:rPr>
        <w:t>K2015356066 and the</w:t>
      </w:r>
      <w:r w:rsidR="00104586" w:rsidRPr="00181989">
        <w:rPr>
          <w:rFonts w:ascii="Arial" w:hAnsi="Arial" w:cs="Arial"/>
          <w:b/>
          <w:color w:val="000000"/>
        </w:rPr>
        <w:t xml:space="preserve"> Business of ASA Metal </w:t>
      </w:r>
      <w:r w:rsidR="00181989" w:rsidRPr="00181989">
        <w:rPr>
          <w:rFonts w:ascii="Arial" w:hAnsi="Arial" w:cs="Arial"/>
          <w:b/>
          <w:color w:val="000000"/>
        </w:rPr>
        <w:t xml:space="preserve">merger approved </w:t>
      </w:r>
    </w:p>
    <w:p w:rsidR="00104586" w:rsidRDefault="00104586" w:rsidP="00841536">
      <w:pPr>
        <w:autoSpaceDE w:val="0"/>
        <w:autoSpaceDN w:val="0"/>
        <w:spacing w:after="0" w:line="240" w:lineRule="auto"/>
        <w:ind w:left="340" w:right="340"/>
        <w:contextualSpacing/>
        <w:jc w:val="both"/>
        <w:rPr>
          <w:rFonts w:ascii="Arial" w:eastAsia="Calibri" w:hAnsi="Arial" w:cs="Arial"/>
          <w:b/>
        </w:rPr>
      </w:pPr>
    </w:p>
    <w:p w:rsidR="00104586" w:rsidRDefault="00104586" w:rsidP="00841536">
      <w:pPr>
        <w:autoSpaceDE w:val="0"/>
        <w:autoSpaceDN w:val="0"/>
        <w:spacing w:after="0" w:line="240" w:lineRule="auto"/>
        <w:ind w:left="340" w:right="340"/>
        <w:contextualSpacing/>
        <w:jc w:val="both"/>
        <w:rPr>
          <w:rFonts w:ascii="Arial" w:eastAsia="Calibri" w:hAnsi="Arial" w:cs="Arial"/>
        </w:rPr>
      </w:pPr>
      <w:r w:rsidRPr="00D90965">
        <w:rPr>
          <w:rFonts w:ascii="Arial" w:eastAsia="Calibri" w:hAnsi="Arial" w:cs="Arial"/>
        </w:rPr>
        <w:t>Primary acquiring firm</w:t>
      </w:r>
      <w:r w:rsidRPr="00D90965">
        <w:rPr>
          <w:rFonts w:ascii="Arial" w:hAnsi="Arial" w:cs="Arial"/>
          <w:color w:val="000000"/>
        </w:rPr>
        <w:t xml:space="preserve"> K2015356066</w:t>
      </w:r>
      <w:r>
        <w:rPr>
          <w:rFonts w:ascii="Arial" w:eastAsia="Calibri" w:hAnsi="Arial" w:cs="Arial"/>
        </w:rPr>
        <w:t xml:space="preserve">, (Newco) a newly created firm, </w:t>
      </w:r>
      <w:r w:rsidR="00181989">
        <w:rPr>
          <w:rFonts w:ascii="Arial" w:eastAsia="Calibri" w:hAnsi="Arial" w:cs="Arial"/>
        </w:rPr>
        <w:t xml:space="preserve">has been given unconditional approval </w:t>
      </w:r>
      <w:r w:rsidR="00936C62">
        <w:rPr>
          <w:rFonts w:ascii="Arial" w:eastAsia="Calibri" w:hAnsi="Arial" w:cs="Arial"/>
        </w:rPr>
        <w:t xml:space="preserve">by the Tribunal </w:t>
      </w:r>
      <w:r w:rsidR="00181989">
        <w:rPr>
          <w:rFonts w:ascii="Arial" w:eastAsia="Calibri" w:hAnsi="Arial" w:cs="Arial"/>
        </w:rPr>
        <w:t xml:space="preserve">to acquire </w:t>
      </w:r>
      <w:r w:rsidRPr="00D90965">
        <w:rPr>
          <w:rFonts w:ascii="Arial" w:eastAsia="Calibri" w:hAnsi="Arial" w:cs="Arial"/>
        </w:rPr>
        <w:t xml:space="preserve">the ferrochrome production assets of ASA Metals Pty Ltd. </w:t>
      </w:r>
    </w:p>
    <w:p w:rsidR="00104586" w:rsidRDefault="00104586" w:rsidP="00841536">
      <w:pPr>
        <w:autoSpaceDE w:val="0"/>
        <w:autoSpaceDN w:val="0"/>
        <w:spacing w:after="0" w:line="240" w:lineRule="auto"/>
        <w:ind w:left="340" w:right="340"/>
        <w:contextualSpacing/>
        <w:jc w:val="both"/>
        <w:rPr>
          <w:rFonts w:ascii="Arial" w:eastAsia="Calibri" w:hAnsi="Arial" w:cs="Arial"/>
        </w:rPr>
      </w:pPr>
    </w:p>
    <w:p w:rsidR="00104586" w:rsidRDefault="00104586" w:rsidP="00841536">
      <w:pPr>
        <w:autoSpaceDE w:val="0"/>
        <w:autoSpaceDN w:val="0"/>
        <w:spacing w:after="0" w:line="240" w:lineRule="auto"/>
        <w:ind w:left="340" w:right="340"/>
        <w:contextualSpacing/>
        <w:jc w:val="both"/>
        <w:rPr>
          <w:rFonts w:ascii="Arial" w:eastAsia="Calibri" w:hAnsi="Arial" w:cs="Arial"/>
        </w:rPr>
      </w:pPr>
      <w:r>
        <w:rPr>
          <w:rFonts w:ascii="Arial" w:eastAsia="Calibri" w:hAnsi="Arial" w:cs="Arial"/>
        </w:rPr>
        <w:t xml:space="preserve">Newco is jointly controlled by </w:t>
      </w:r>
      <w:proofErr w:type="spellStart"/>
      <w:r>
        <w:rPr>
          <w:rFonts w:ascii="Arial" w:eastAsia="Calibri" w:hAnsi="Arial" w:cs="Arial"/>
        </w:rPr>
        <w:t>Sinosteel</w:t>
      </w:r>
      <w:proofErr w:type="spellEnd"/>
      <w:r>
        <w:rPr>
          <w:rFonts w:ascii="Arial" w:eastAsia="Calibri" w:hAnsi="Arial" w:cs="Arial"/>
        </w:rPr>
        <w:t xml:space="preserve"> Corporation Ltd, active in the production and supply of chrome ore and ferrochrome, and </w:t>
      </w:r>
      <w:proofErr w:type="spellStart"/>
      <w:r>
        <w:rPr>
          <w:rFonts w:ascii="Arial" w:eastAsia="Calibri" w:hAnsi="Arial" w:cs="Arial"/>
        </w:rPr>
        <w:t>Sama</w:t>
      </w:r>
      <w:r w:rsidR="00936C62">
        <w:rPr>
          <w:rFonts w:ascii="Arial" w:eastAsia="Calibri" w:hAnsi="Arial" w:cs="Arial"/>
        </w:rPr>
        <w:t>n</w:t>
      </w:r>
      <w:r>
        <w:rPr>
          <w:rFonts w:ascii="Arial" w:eastAsia="Calibri" w:hAnsi="Arial" w:cs="Arial"/>
        </w:rPr>
        <w:t>cor</w:t>
      </w:r>
      <w:proofErr w:type="spellEnd"/>
      <w:r>
        <w:rPr>
          <w:rFonts w:ascii="Arial" w:eastAsia="Calibri" w:hAnsi="Arial" w:cs="Arial"/>
        </w:rPr>
        <w:t xml:space="preserve"> Chrome Ltd, engaged in the production of chrome ore, electrode paste and ferrochrome. </w:t>
      </w:r>
    </w:p>
    <w:p w:rsidR="00104586" w:rsidRDefault="00104586" w:rsidP="00841536">
      <w:pPr>
        <w:autoSpaceDE w:val="0"/>
        <w:autoSpaceDN w:val="0"/>
        <w:spacing w:after="0" w:line="240" w:lineRule="auto"/>
        <w:ind w:left="340" w:right="340"/>
        <w:contextualSpacing/>
        <w:jc w:val="both"/>
        <w:rPr>
          <w:rFonts w:ascii="Arial" w:eastAsia="Calibri" w:hAnsi="Arial" w:cs="Arial"/>
        </w:rPr>
      </w:pPr>
    </w:p>
    <w:p w:rsidR="00104586" w:rsidRDefault="00104586" w:rsidP="00841536">
      <w:pPr>
        <w:autoSpaceDE w:val="0"/>
        <w:autoSpaceDN w:val="0"/>
        <w:spacing w:after="0" w:line="240" w:lineRule="auto"/>
        <w:ind w:left="340" w:right="340"/>
        <w:contextualSpacing/>
        <w:jc w:val="both"/>
        <w:rPr>
          <w:rFonts w:ascii="Arial" w:eastAsia="Calibri" w:hAnsi="Arial" w:cs="Arial"/>
        </w:rPr>
      </w:pPr>
      <w:r>
        <w:rPr>
          <w:rFonts w:ascii="Arial" w:eastAsia="Calibri" w:hAnsi="Arial" w:cs="Arial"/>
        </w:rPr>
        <w:t xml:space="preserve">ASA Metals indirectly produces chrome ore and directly produces ferrochrome. </w:t>
      </w:r>
    </w:p>
    <w:p w:rsidR="00104586" w:rsidRDefault="00104586" w:rsidP="00841536">
      <w:pPr>
        <w:autoSpaceDE w:val="0"/>
        <w:autoSpaceDN w:val="0"/>
        <w:spacing w:after="0" w:line="240" w:lineRule="auto"/>
        <w:ind w:left="340" w:right="340"/>
        <w:contextualSpacing/>
        <w:jc w:val="both"/>
        <w:rPr>
          <w:rFonts w:ascii="Arial" w:eastAsia="Calibri" w:hAnsi="Arial" w:cs="Arial"/>
        </w:rPr>
      </w:pPr>
    </w:p>
    <w:p w:rsidR="001145AC" w:rsidRDefault="00104586" w:rsidP="00841536">
      <w:pPr>
        <w:autoSpaceDE w:val="0"/>
        <w:autoSpaceDN w:val="0"/>
        <w:spacing w:after="0" w:line="240" w:lineRule="auto"/>
        <w:ind w:left="340" w:right="340"/>
        <w:contextualSpacing/>
        <w:jc w:val="both"/>
        <w:rPr>
          <w:rFonts w:ascii="Arial" w:eastAsia="Calibri" w:hAnsi="Arial" w:cs="Arial"/>
        </w:rPr>
      </w:pPr>
      <w:r>
        <w:rPr>
          <w:rFonts w:ascii="Arial" w:eastAsia="Calibri" w:hAnsi="Arial" w:cs="Arial"/>
        </w:rPr>
        <w:t xml:space="preserve">The relevant markets in this transaction is the global market for supply and production of ferrochrome, the upstream market for mining and production of chrome ore, the upstream market for production and distribution of electrode paste and the downstream market for the production and supply of ferrochrome. </w:t>
      </w:r>
    </w:p>
    <w:p w:rsidR="001145AC" w:rsidRDefault="001145AC" w:rsidP="00841536">
      <w:pPr>
        <w:autoSpaceDE w:val="0"/>
        <w:autoSpaceDN w:val="0"/>
        <w:spacing w:after="0" w:line="240" w:lineRule="auto"/>
        <w:ind w:left="340" w:right="340"/>
        <w:contextualSpacing/>
        <w:jc w:val="both"/>
        <w:rPr>
          <w:rFonts w:ascii="Arial" w:eastAsia="Calibri" w:hAnsi="Arial" w:cs="Arial"/>
        </w:rPr>
      </w:pPr>
    </w:p>
    <w:p w:rsidR="00104586" w:rsidRPr="001145AC" w:rsidRDefault="00104586" w:rsidP="00841536">
      <w:pPr>
        <w:autoSpaceDE w:val="0"/>
        <w:autoSpaceDN w:val="0"/>
        <w:spacing w:after="0" w:line="240" w:lineRule="auto"/>
        <w:ind w:left="340" w:right="340"/>
        <w:contextualSpacing/>
        <w:jc w:val="both"/>
        <w:rPr>
          <w:rFonts w:ascii="Arial" w:eastAsia="Calibri" w:hAnsi="Arial" w:cs="Arial"/>
        </w:rPr>
      </w:pPr>
      <w:r>
        <w:rPr>
          <w:rFonts w:ascii="Arial" w:hAnsi="Arial" w:cs="Arial"/>
          <w:b/>
          <w:bCs/>
        </w:rPr>
        <w:t xml:space="preserve">Merger </w:t>
      </w:r>
      <w:r w:rsidRPr="001D0261">
        <w:rPr>
          <w:rFonts w:ascii="Arial" w:hAnsi="Arial" w:cs="Arial"/>
          <w:b/>
          <w:bCs/>
        </w:rPr>
        <w:t xml:space="preserve">between </w:t>
      </w:r>
      <w:proofErr w:type="spellStart"/>
      <w:r w:rsidRPr="001D0261">
        <w:rPr>
          <w:rFonts w:ascii="Arial" w:hAnsi="Arial" w:cs="Arial"/>
          <w:b/>
          <w:bCs/>
        </w:rPr>
        <w:t>Sa</w:t>
      </w:r>
      <w:r>
        <w:rPr>
          <w:rFonts w:ascii="Arial" w:hAnsi="Arial" w:cs="Arial"/>
          <w:b/>
          <w:bCs/>
        </w:rPr>
        <w:t>cOil</w:t>
      </w:r>
      <w:proofErr w:type="spellEnd"/>
      <w:r>
        <w:rPr>
          <w:rFonts w:ascii="Arial" w:hAnsi="Arial" w:cs="Arial"/>
          <w:b/>
          <w:bCs/>
        </w:rPr>
        <w:t xml:space="preserve"> Holdings and </w:t>
      </w:r>
      <w:proofErr w:type="spellStart"/>
      <w:r>
        <w:rPr>
          <w:rFonts w:ascii="Arial" w:hAnsi="Arial" w:cs="Arial"/>
          <w:b/>
          <w:bCs/>
        </w:rPr>
        <w:t>Phembani</w:t>
      </w:r>
      <w:proofErr w:type="spellEnd"/>
      <w:r>
        <w:rPr>
          <w:rFonts w:ascii="Arial" w:hAnsi="Arial" w:cs="Arial"/>
          <w:b/>
          <w:bCs/>
        </w:rPr>
        <w:t xml:space="preserve"> Oil approved</w:t>
      </w:r>
    </w:p>
    <w:p w:rsidR="00104586" w:rsidRDefault="00104586" w:rsidP="00841536">
      <w:pPr>
        <w:spacing w:after="0" w:line="240" w:lineRule="auto"/>
        <w:ind w:left="340" w:right="340"/>
        <w:contextualSpacing/>
        <w:jc w:val="both"/>
        <w:rPr>
          <w:rFonts w:ascii="Arial" w:hAnsi="Arial" w:cs="Arial"/>
          <w:b/>
          <w:bCs/>
        </w:rPr>
      </w:pPr>
    </w:p>
    <w:p w:rsidR="00104586" w:rsidRPr="001D0261" w:rsidRDefault="00104586" w:rsidP="00841536">
      <w:pPr>
        <w:spacing w:after="0" w:line="240" w:lineRule="auto"/>
        <w:ind w:left="340" w:right="340"/>
        <w:contextualSpacing/>
        <w:jc w:val="both"/>
        <w:rPr>
          <w:rFonts w:ascii="Arial" w:hAnsi="Arial" w:cs="Arial"/>
          <w:b/>
          <w:bCs/>
        </w:rPr>
      </w:pPr>
      <w:r w:rsidRPr="001D0261">
        <w:rPr>
          <w:rFonts w:ascii="Arial" w:hAnsi="Arial" w:cs="Arial"/>
        </w:rPr>
        <w:t xml:space="preserve">Competition Tribunal </w:t>
      </w:r>
      <w:r>
        <w:rPr>
          <w:rFonts w:ascii="Arial" w:hAnsi="Arial" w:cs="Arial"/>
        </w:rPr>
        <w:t xml:space="preserve">has approved </w:t>
      </w:r>
      <w:r w:rsidRPr="001D0261">
        <w:rPr>
          <w:rFonts w:ascii="Arial" w:hAnsi="Arial" w:cs="Arial"/>
        </w:rPr>
        <w:t xml:space="preserve">the large merger between </w:t>
      </w:r>
      <w:proofErr w:type="spellStart"/>
      <w:r w:rsidRPr="001D0261">
        <w:rPr>
          <w:rFonts w:ascii="Arial" w:hAnsi="Arial" w:cs="Arial"/>
        </w:rPr>
        <w:t>SacOil</w:t>
      </w:r>
      <w:proofErr w:type="spellEnd"/>
      <w:r w:rsidRPr="001D0261">
        <w:rPr>
          <w:rFonts w:ascii="Arial" w:hAnsi="Arial" w:cs="Arial"/>
        </w:rPr>
        <w:t xml:space="preserve"> and </w:t>
      </w:r>
      <w:proofErr w:type="spellStart"/>
      <w:r w:rsidRPr="001D0261">
        <w:rPr>
          <w:rFonts w:ascii="Arial" w:hAnsi="Arial" w:cs="Arial"/>
        </w:rPr>
        <w:t>Phembani</w:t>
      </w:r>
      <w:proofErr w:type="spellEnd"/>
      <w:r w:rsidRPr="001D0261">
        <w:rPr>
          <w:rFonts w:ascii="Arial" w:hAnsi="Arial" w:cs="Arial"/>
        </w:rPr>
        <w:t xml:space="preserve"> Oil.</w:t>
      </w:r>
    </w:p>
    <w:p w:rsidR="00104586" w:rsidRPr="001D0261" w:rsidRDefault="00104586" w:rsidP="00841536">
      <w:pPr>
        <w:spacing w:after="0" w:line="240" w:lineRule="auto"/>
        <w:ind w:left="340" w:right="340"/>
        <w:contextualSpacing/>
        <w:jc w:val="both"/>
        <w:rPr>
          <w:rFonts w:ascii="Arial" w:hAnsi="Arial" w:cs="Arial"/>
        </w:rPr>
      </w:pPr>
    </w:p>
    <w:p w:rsidR="00104586" w:rsidRPr="001D0261" w:rsidRDefault="00104586" w:rsidP="00841536">
      <w:pPr>
        <w:spacing w:after="0" w:line="240" w:lineRule="auto"/>
        <w:ind w:left="340" w:right="340"/>
        <w:contextualSpacing/>
        <w:jc w:val="both"/>
        <w:rPr>
          <w:rFonts w:ascii="Arial" w:hAnsi="Arial" w:cs="Arial"/>
        </w:rPr>
      </w:pPr>
      <w:r w:rsidRPr="001D0261">
        <w:rPr>
          <w:rFonts w:ascii="Arial" w:hAnsi="Arial" w:cs="Arial"/>
        </w:rPr>
        <w:t xml:space="preserve">SacOil </w:t>
      </w:r>
      <w:r>
        <w:rPr>
          <w:rFonts w:ascii="Arial" w:hAnsi="Arial" w:cs="Arial"/>
        </w:rPr>
        <w:t xml:space="preserve">mainly </w:t>
      </w:r>
      <w:r w:rsidRPr="001D0261">
        <w:rPr>
          <w:rFonts w:ascii="Arial" w:hAnsi="Arial" w:cs="Arial"/>
        </w:rPr>
        <w:t xml:space="preserve">focuses on the exploration of oil and gas. This involves the exploration for and extraction of petroleum crude oil and natural gas. It includes the searching for potential underground or underwater oil and gas fields, drilling of exploratory wells, and subsequently operating the wells that recover and bring the petroleum crude oil and raw natural gas to the surface. </w:t>
      </w:r>
    </w:p>
    <w:p w:rsidR="00104586" w:rsidRPr="001D0261" w:rsidRDefault="00104586" w:rsidP="00841536">
      <w:pPr>
        <w:spacing w:after="0" w:line="240" w:lineRule="auto"/>
        <w:ind w:left="340" w:right="340"/>
        <w:contextualSpacing/>
        <w:jc w:val="both"/>
        <w:rPr>
          <w:rFonts w:ascii="Arial" w:hAnsi="Arial" w:cs="Arial"/>
        </w:rPr>
      </w:pPr>
    </w:p>
    <w:p w:rsidR="00104586" w:rsidRDefault="00104586" w:rsidP="00841536">
      <w:pPr>
        <w:spacing w:after="0" w:line="240" w:lineRule="auto"/>
        <w:ind w:left="340" w:right="340"/>
        <w:contextualSpacing/>
        <w:jc w:val="both"/>
        <w:rPr>
          <w:rFonts w:ascii="Arial" w:hAnsi="Arial" w:cs="Arial"/>
        </w:rPr>
      </w:pPr>
      <w:proofErr w:type="spellStart"/>
      <w:r w:rsidRPr="001D0261">
        <w:rPr>
          <w:rFonts w:ascii="Arial" w:hAnsi="Arial" w:cs="Arial"/>
        </w:rPr>
        <w:t>Phembani</w:t>
      </w:r>
      <w:proofErr w:type="spellEnd"/>
      <w:r w:rsidRPr="001D0261">
        <w:rPr>
          <w:rFonts w:ascii="Arial" w:hAnsi="Arial" w:cs="Arial"/>
        </w:rPr>
        <w:t xml:space="preserve"> Oil is a ring-fenced special purpose vehicle which only holds equity interest in </w:t>
      </w:r>
      <w:proofErr w:type="spellStart"/>
      <w:r w:rsidRPr="001D0261">
        <w:rPr>
          <w:rFonts w:ascii="Arial" w:hAnsi="Arial" w:cs="Arial"/>
        </w:rPr>
        <w:t>Afric</w:t>
      </w:r>
      <w:proofErr w:type="spellEnd"/>
      <w:r w:rsidRPr="001D0261">
        <w:rPr>
          <w:rFonts w:ascii="Arial" w:hAnsi="Arial" w:cs="Arial"/>
        </w:rPr>
        <w:t xml:space="preserve"> Oil. </w:t>
      </w:r>
      <w:proofErr w:type="spellStart"/>
      <w:r w:rsidRPr="001D0261">
        <w:rPr>
          <w:rFonts w:ascii="Arial" w:hAnsi="Arial" w:cs="Arial"/>
        </w:rPr>
        <w:t>Afric</w:t>
      </w:r>
      <w:proofErr w:type="spellEnd"/>
      <w:r w:rsidRPr="001D0261">
        <w:rPr>
          <w:rFonts w:ascii="Arial" w:hAnsi="Arial" w:cs="Arial"/>
        </w:rPr>
        <w:t xml:space="preserve"> Oil is involved in the marketing and distribution of petrol, diesel, illuminating paraffin, jet fuel and lubricants to a</w:t>
      </w:r>
      <w:r>
        <w:rPr>
          <w:rFonts w:ascii="Arial" w:hAnsi="Arial" w:cs="Arial"/>
        </w:rPr>
        <w:t xml:space="preserve"> broad</w:t>
      </w:r>
      <w:r w:rsidRPr="001D0261">
        <w:rPr>
          <w:rFonts w:ascii="Arial" w:hAnsi="Arial" w:cs="Arial"/>
        </w:rPr>
        <w:t xml:space="preserve"> client base that comprises of local and national governments, parastatals, the mining industry, the construction industry, the transport sector, the manufacturing sector, resellers and agricultural industries.</w:t>
      </w:r>
    </w:p>
    <w:p w:rsidR="00104586" w:rsidRDefault="00104586" w:rsidP="00841536">
      <w:pPr>
        <w:spacing w:after="0" w:line="240" w:lineRule="auto"/>
        <w:ind w:left="340" w:right="340"/>
        <w:contextualSpacing/>
        <w:jc w:val="both"/>
        <w:rPr>
          <w:rFonts w:ascii="Arial" w:hAnsi="Arial" w:cs="Arial"/>
        </w:rPr>
      </w:pPr>
    </w:p>
    <w:p w:rsidR="00104586" w:rsidRPr="001D0261" w:rsidRDefault="00104586" w:rsidP="00841536">
      <w:pPr>
        <w:spacing w:after="0" w:line="240" w:lineRule="auto"/>
        <w:ind w:left="340" w:right="340"/>
        <w:contextualSpacing/>
        <w:jc w:val="both"/>
        <w:rPr>
          <w:rFonts w:ascii="Arial" w:hAnsi="Arial" w:cs="Arial"/>
        </w:rPr>
      </w:pPr>
      <w:r>
        <w:rPr>
          <w:rFonts w:ascii="Arial" w:hAnsi="Arial" w:cs="Arial"/>
        </w:rPr>
        <w:t>SacOil operates in the explor</w:t>
      </w:r>
      <w:r w:rsidR="00936C62">
        <w:rPr>
          <w:rFonts w:ascii="Arial" w:hAnsi="Arial" w:cs="Arial"/>
        </w:rPr>
        <w:t xml:space="preserve">ation of oil and gas, while </w:t>
      </w:r>
      <w:proofErr w:type="spellStart"/>
      <w:r w:rsidR="00936C62">
        <w:rPr>
          <w:rFonts w:ascii="Arial" w:hAnsi="Arial" w:cs="Arial"/>
        </w:rPr>
        <w:t>Afric</w:t>
      </w:r>
      <w:proofErr w:type="spellEnd"/>
      <w:r w:rsidR="00936C62">
        <w:rPr>
          <w:rFonts w:ascii="Arial" w:hAnsi="Arial" w:cs="Arial"/>
        </w:rPr>
        <w:t xml:space="preserve"> Oil is a wholesale/distributor</w:t>
      </w:r>
      <w:r>
        <w:rPr>
          <w:rFonts w:ascii="Arial" w:hAnsi="Arial" w:cs="Arial"/>
        </w:rPr>
        <w:t xml:space="preserve"> of petroleum products. </w:t>
      </w:r>
    </w:p>
    <w:p w:rsidR="00104586" w:rsidRPr="001D0261" w:rsidRDefault="00104586" w:rsidP="00841536">
      <w:pPr>
        <w:spacing w:after="0" w:line="240" w:lineRule="auto"/>
        <w:ind w:left="340" w:right="340"/>
        <w:contextualSpacing/>
        <w:jc w:val="both"/>
        <w:rPr>
          <w:rFonts w:ascii="Arial" w:hAnsi="Arial" w:cs="Arial"/>
        </w:rPr>
      </w:pPr>
    </w:p>
    <w:p w:rsidR="00104586" w:rsidRPr="001D0261" w:rsidRDefault="00A57A82" w:rsidP="00841536">
      <w:pPr>
        <w:spacing w:after="0" w:line="240" w:lineRule="auto"/>
        <w:ind w:left="340" w:right="340"/>
        <w:contextualSpacing/>
        <w:jc w:val="both"/>
        <w:rPr>
          <w:rFonts w:ascii="Arial" w:hAnsi="Arial" w:cs="Arial"/>
          <w:b/>
          <w:bCs/>
        </w:rPr>
      </w:pPr>
      <w:r>
        <w:rPr>
          <w:rFonts w:ascii="Arial" w:hAnsi="Arial" w:cs="Arial"/>
          <w:b/>
          <w:bCs/>
        </w:rPr>
        <w:t>Tribunal</w:t>
      </w:r>
      <w:r w:rsidR="00CB4FB5">
        <w:rPr>
          <w:rFonts w:ascii="Arial" w:hAnsi="Arial" w:cs="Arial"/>
          <w:b/>
          <w:bCs/>
        </w:rPr>
        <w:t xml:space="preserve"> approves Dimension Data’s acquisition </w:t>
      </w:r>
      <w:r w:rsidR="00104586" w:rsidRPr="001D0261">
        <w:rPr>
          <w:rFonts w:ascii="Arial" w:hAnsi="Arial" w:cs="Arial"/>
          <w:b/>
          <w:bCs/>
        </w:rPr>
        <w:t xml:space="preserve">the consumer facing internet access and ancillary services business of MWEB Connect known as MWEB ISP </w:t>
      </w:r>
    </w:p>
    <w:p w:rsidR="00104586" w:rsidRPr="001D0261" w:rsidRDefault="00104586" w:rsidP="00841536">
      <w:pPr>
        <w:spacing w:after="0" w:line="240" w:lineRule="auto"/>
        <w:ind w:left="340" w:right="340"/>
        <w:contextualSpacing/>
        <w:jc w:val="both"/>
        <w:rPr>
          <w:rFonts w:ascii="Arial" w:hAnsi="Arial" w:cs="Arial"/>
          <w:b/>
          <w:bCs/>
        </w:rPr>
      </w:pPr>
    </w:p>
    <w:p w:rsidR="00104586" w:rsidRDefault="00A57A82" w:rsidP="00841536">
      <w:pPr>
        <w:spacing w:after="0" w:line="240" w:lineRule="auto"/>
        <w:ind w:left="340" w:right="340"/>
        <w:contextualSpacing/>
        <w:jc w:val="both"/>
        <w:rPr>
          <w:rFonts w:ascii="Arial" w:hAnsi="Arial" w:cs="Arial"/>
        </w:rPr>
      </w:pPr>
      <w:r>
        <w:rPr>
          <w:rFonts w:ascii="Arial" w:hAnsi="Arial" w:cs="Arial"/>
        </w:rPr>
        <w:t xml:space="preserve">The Tribunal </w:t>
      </w:r>
      <w:r w:rsidR="00CB4FB5">
        <w:rPr>
          <w:rFonts w:ascii="Arial" w:hAnsi="Arial" w:cs="Arial"/>
        </w:rPr>
        <w:t xml:space="preserve">has approved the </w:t>
      </w:r>
      <w:r w:rsidR="00104586" w:rsidRPr="001D0261">
        <w:rPr>
          <w:rFonts w:ascii="Arial" w:hAnsi="Arial" w:cs="Arial"/>
        </w:rPr>
        <w:t xml:space="preserve">large merger of Dimension Data and </w:t>
      </w:r>
      <w:r w:rsidR="00104586">
        <w:rPr>
          <w:rFonts w:ascii="Arial" w:hAnsi="Arial" w:cs="Arial"/>
        </w:rPr>
        <w:t>the remaining business of MWEB</w:t>
      </w:r>
      <w:r w:rsidR="00104586" w:rsidRPr="001D0261">
        <w:rPr>
          <w:rFonts w:ascii="Arial" w:hAnsi="Arial" w:cs="Arial"/>
        </w:rPr>
        <w:t xml:space="preserve"> subject to public interest conditions relating to employment.</w:t>
      </w:r>
    </w:p>
    <w:p w:rsidR="00CB4FB5" w:rsidRDefault="00CB4FB5" w:rsidP="00841536">
      <w:pPr>
        <w:spacing w:after="0" w:line="240" w:lineRule="auto"/>
        <w:ind w:left="340" w:right="340"/>
        <w:contextualSpacing/>
        <w:jc w:val="both"/>
        <w:rPr>
          <w:rFonts w:ascii="Arial" w:hAnsi="Arial" w:cs="Arial"/>
        </w:rPr>
      </w:pPr>
    </w:p>
    <w:p w:rsidR="00CB4FB5" w:rsidRPr="001D0261" w:rsidRDefault="00CB4FB5" w:rsidP="00841536">
      <w:pPr>
        <w:spacing w:after="0" w:line="240" w:lineRule="auto"/>
        <w:ind w:left="340" w:right="340"/>
        <w:contextualSpacing/>
        <w:jc w:val="both"/>
        <w:rPr>
          <w:rFonts w:ascii="Arial" w:hAnsi="Arial" w:cs="Arial"/>
        </w:rPr>
      </w:pPr>
      <w:r>
        <w:rPr>
          <w:rFonts w:ascii="Arial" w:hAnsi="Arial" w:cs="Arial"/>
        </w:rPr>
        <w:t>The Tribunal approved a merger in 2014 of</w:t>
      </w:r>
      <w:r w:rsidR="00686AE0">
        <w:rPr>
          <w:rFonts w:ascii="Arial" w:hAnsi="Arial" w:cs="Arial"/>
        </w:rPr>
        <w:t xml:space="preserve"> Dimension Data and </w:t>
      </w:r>
      <w:r w:rsidR="003F5EB3">
        <w:rPr>
          <w:rFonts w:ascii="Arial" w:hAnsi="Arial" w:cs="Arial"/>
        </w:rPr>
        <w:t>MWEB</w:t>
      </w:r>
      <w:r>
        <w:rPr>
          <w:rFonts w:ascii="Arial" w:hAnsi="Arial" w:cs="Arial"/>
        </w:rPr>
        <w:t xml:space="preserve">    Business, </w:t>
      </w:r>
      <w:proofErr w:type="spellStart"/>
      <w:r>
        <w:rPr>
          <w:rFonts w:ascii="Arial" w:hAnsi="Arial" w:cs="Arial"/>
        </w:rPr>
        <w:t>Optinet</w:t>
      </w:r>
      <w:proofErr w:type="spellEnd"/>
      <w:r>
        <w:rPr>
          <w:rFonts w:ascii="Arial" w:hAnsi="Arial" w:cs="Arial"/>
        </w:rPr>
        <w:t xml:space="preserve"> Services and </w:t>
      </w:r>
      <w:proofErr w:type="spellStart"/>
      <w:r>
        <w:rPr>
          <w:rFonts w:ascii="Arial" w:hAnsi="Arial" w:cs="Arial"/>
        </w:rPr>
        <w:t>Optinet</w:t>
      </w:r>
      <w:proofErr w:type="spellEnd"/>
      <w:r>
        <w:rPr>
          <w:rFonts w:ascii="Arial" w:hAnsi="Arial" w:cs="Arial"/>
        </w:rPr>
        <w:t xml:space="preserve"> Network Division. </w:t>
      </w:r>
    </w:p>
    <w:p w:rsidR="00104586" w:rsidRPr="001D0261" w:rsidRDefault="00104586" w:rsidP="00841536">
      <w:pPr>
        <w:spacing w:after="0" w:line="240" w:lineRule="auto"/>
        <w:ind w:left="340" w:right="340"/>
        <w:contextualSpacing/>
        <w:jc w:val="both"/>
        <w:rPr>
          <w:rFonts w:ascii="Arial" w:hAnsi="Arial" w:cs="Arial"/>
        </w:rPr>
      </w:pPr>
    </w:p>
    <w:p w:rsidR="00104586" w:rsidRDefault="00104586" w:rsidP="00841536">
      <w:pPr>
        <w:spacing w:after="0" w:line="240" w:lineRule="auto"/>
        <w:ind w:left="340" w:right="340"/>
        <w:contextualSpacing/>
        <w:jc w:val="both"/>
        <w:rPr>
          <w:rFonts w:ascii="Arial" w:hAnsi="Arial" w:cs="Arial"/>
        </w:rPr>
      </w:pPr>
      <w:r w:rsidRPr="001D0261">
        <w:rPr>
          <w:rFonts w:ascii="Arial" w:hAnsi="Arial" w:cs="Arial"/>
        </w:rPr>
        <w:t>In South Africa, the Dimension Data Group operates through a variety of subsidiaries and div</w:t>
      </w:r>
      <w:r>
        <w:rPr>
          <w:rFonts w:ascii="Arial" w:hAnsi="Arial" w:cs="Arial"/>
        </w:rPr>
        <w:t>isions that specialise in IT communications services and focus</w:t>
      </w:r>
      <w:r w:rsidR="00A57A82">
        <w:rPr>
          <w:rFonts w:ascii="Arial" w:hAnsi="Arial" w:cs="Arial"/>
        </w:rPr>
        <w:t xml:space="preserve">es on Network Integration, converged </w:t>
      </w:r>
      <w:r>
        <w:rPr>
          <w:rFonts w:ascii="Arial" w:hAnsi="Arial" w:cs="Arial"/>
        </w:rPr>
        <w:t>communication, security, data centre and storage, customer interactive solutions and Microsoft solutions</w:t>
      </w:r>
    </w:p>
    <w:p w:rsidR="00104586" w:rsidRPr="001D0261" w:rsidRDefault="00104586" w:rsidP="00841536">
      <w:pPr>
        <w:spacing w:after="0" w:line="240" w:lineRule="auto"/>
        <w:ind w:left="340" w:right="340"/>
        <w:contextualSpacing/>
        <w:jc w:val="both"/>
        <w:rPr>
          <w:rFonts w:ascii="Arial" w:hAnsi="Arial" w:cs="Arial"/>
        </w:rPr>
      </w:pPr>
    </w:p>
    <w:p w:rsidR="00104586" w:rsidRPr="003B5A4E" w:rsidRDefault="00104586" w:rsidP="00841536">
      <w:pPr>
        <w:spacing w:after="0" w:line="240" w:lineRule="auto"/>
        <w:ind w:left="340" w:right="340"/>
        <w:contextualSpacing/>
        <w:jc w:val="both"/>
        <w:rPr>
          <w:rFonts w:ascii="Arial" w:hAnsi="Arial" w:cs="Arial"/>
        </w:rPr>
      </w:pPr>
      <w:r w:rsidRPr="003B5A4E">
        <w:rPr>
          <w:rFonts w:ascii="Arial" w:hAnsi="Arial" w:cs="Arial"/>
        </w:rPr>
        <w:t>The target is the Consumer Facing Internet Access and Ancillary Busine</w:t>
      </w:r>
      <w:r w:rsidR="003F5EB3">
        <w:rPr>
          <w:rFonts w:ascii="Arial" w:hAnsi="Arial" w:cs="Arial"/>
        </w:rPr>
        <w:t xml:space="preserve">ss of </w:t>
      </w:r>
      <w:proofErr w:type="gramStart"/>
      <w:r w:rsidR="003F5EB3">
        <w:rPr>
          <w:rFonts w:ascii="Arial" w:hAnsi="Arial" w:cs="Arial"/>
        </w:rPr>
        <w:t>MWEB  Connect</w:t>
      </w:r>
      <w:proofErr w:type="gramEnd"/>
      <w:r w:rsidR="003F5EB3">
        <w:rPr>
          <w:rFonts w:ascii="Arial" w:hAnsi="Arial" w:cs="Arial"/>
        </w:rPr>
        <w:t xml:space="preserve"> Pty Ltd. MWEB</w:t>
      </w:r>
      <w:r w:rsidRPr="003B5A4E">
        <w:rPr>
          <w:rFonts w:ascii="Arial" w:hAnsi="Arial" w:cs="Arial"/>
        </w:rPr>
        <w:t xml:space="preserve"> comprises internet access and </w:t>
      </w:r>
      <w:r w:rsidR="00A57A82" w:rsidRPr="003B5A4E">
        <w:rPr>
          <w:rFonts w:ascii="Arial" w:hAnsi="Arial" w:cs="Arial"/>
        </w:rPr>
        <w:t>ancillary</w:t>
      </w:r>
      <w:r w:rsidRPr="003B5A4E">
        <w:rPr>
          <w:rFonts w:ascii="Arial" w:hAnsi="Arial" w:cs="Arial"/>
        </w:rPr>
        <w:t xml:space="preserve"> services to consumers for internet access of fixed lines, Wi-Fi hotspots and cellular phones. </w:t>
      </w:r>
    </w:p>
    <w:p w:rsidR="00104586" w:rsidRPr="003B5A4E" w:rsidRDefault="00104586" w:rsidP="00841536">
      <w:pPr>
        <w:spacing w:after="0" w:line="240" w:lineRule="auto"/>
        <w:ind w:left="340" w:right="340"/>
        <w:contextualSpacing/>
        <w:jc w:val="both"/>
        <w:rPr>
          <w:rFonts w:ascii="Arial" w:hAnsi="Arial" w:cs="Arial"/>
        </w:rPr>
      </w:pPr>
    </w:p>
    <w:p w:rsidR="00104586" w:rsidRDefault="00CB4FB5" w:rsidP="00841536">
      <w:pPr>
        <w:spacing w:after="0" w:line="240" w:lineRule="auto"/>
        <w:ind w:left="340" w:right="340"/>
        <w:contextualSpacing/>
        <w:jc w:val="both"/>
        <w:rPr>
          <w:rFonts w:ascii="Arial" w:hAnsi="Arial" w:cs="Arial"/>
        </w:rPr>
      </w:pPr>
      <w:r>
        <w:rPr>
          <w:rFonts w:ascii="Arial" w:hAnsi="Arial" w:cs="Arial"/>
        </w:rPr>
        <w:t>The Tribunal approved the me</w:t>
      </w:r>
      <w:r w:rsidR="009646C2">
        <w:rPr>
          <w:rFonts w:ascii="Arial" w:hAnsi="Arial" w:cs="Arial"/>
        </w:rPr>
        <w:t xml:space="preserve">rger subject to employment conditions that the parties may not retrench any employees other than the 25 reported, as a result of the merger. </w:t>
      </w:r>
    </w:p>
    <w:p w:rsidR="00CB4FB5" w:rsidRDefault="00CB4FB5" w:rsidP="00841536">
      <w:pPr>
        <w:spacing w:after="0" w:line="240" w:lineRule="auto"/>
        <w:ind w:left="340" w:right="340"/>
        <w:contextualSpacing/>
        <w:jc w:val="both"/>
        <w:rPr>
          <w:rFonts w:ascii="Arial" w:hAnsi="Arial" w:cs="Arial"/>
        </w:rPr>
      </w:pPr>
    </w:p>
    <w:p w:rsidR="003F5EB3" w:rsidRDefault="003F5EB3" w:rsidP="00841536">
      <w:pPr>
        <w:spacing w:after="0" w:line="240" w:lineRule="auto"/>
        <w:ind w:left="340" w:right="340"/>
        <w:contextualSpacing/>
        <w:jc w:val="both"/>
        <w:rPr>
          <w:rFonts w:ascii="Arial" w:hAnsi="Arial" w:cs="Arial"/>
        </w:rPr>
      </w:pPr>
      <w:r>
        <w:rPr>
          <w:rFonts w:ascii="Arial" w:hAnsi="Arial" w:cs="Arial"/>
        </w:rPr>
        <w:t xml:space="preserve">For all other retrenchments, Dimension Data shall not accelerate or cause any retrenchments, contemplated by MWEB in its 2017/2018 Business Plan, to occur earlier than what is contemplated in the plan. </w:t>
      </w:r>
    </w:p>
    <w:p w:rsidR="00CB4FB5" w:rsidRPr="001D0261" w:rsidRDefault="00CB4FB5" w:rsidP="00841536">
      <w:pPr>
        <w:spacing w:after="0" w:line="240" w:lineRule="auto"/>
        <w:ind w:left="340" w:right="340"/>
        <w:contextualSpacing/>
        <w:jc w:val="both"/>
        <w:rPr>
          <w:rFonts w:ascii="Arial" w:hAnsi="Arial" w:cs="Arial"/>
        </w:rPr>
      </w:pPr>
    </w:p>
    <w:p w:rsidR="00104586" w:rsidRPr="001D0261" w:rsidRDefault="009646C2" w:rsidP="00841536">
      <w:pPr>
        <w:spacing w:after="0" w:line="240" w:lineRule="auto"/>
        <w:ind w:left="340" w:right="340"/>
        <w:contextualSpacing/>
        <w:jc w:val="both"/>
        <w:rPr>
          <w:rFonts w:ascii="Arial" w:hAnsi="Arial" w:cs="Arial"/>
          <w:b/>
          <w:bCs/>
        </w:rPr>
      </w:pPr>
      <w:r>
        <w:rPr>
          <w:rFonts w:ascii="Arial" w:hAnsi="Arial" w:cs="Arial"/>
          <w:b/>
          <w:bCs/>
        </w:rPr>
        <w:t xml:space="preserve"> </w:t>
      </w:r>
      <w:r w:rsidR="00A57A82">
        <w:rPr>
          <w:rFonts w:ascii="Arial" w:hAnsi="Arial" w:cs="Arial"/>
          <w:b/>
          <w:bCs/>
        </w:rPr>
        <w:t xml:space="preserve">Merger of </w:t>
      </w:r>
      <w:r w:rsidR="00104586" w:rsidRPr="001D0261">
        <w:rPr>
          <w:rFonts w:ascii="Arial" w:hAnsi="Arial" w:cs="Arial"/>
          <w:b/>
          <w:bCs/>
        </w:rPr>
        <w:t xml:space="preserve">Eastern Platinum and the Pandora Joint Venture </w:t>
      </w:r>
      <w:r w:rsidR="00A57A82">
        <w:rPr>
          <w:rFonts w:ascii="Arial" w:hAnsi="Arial" w:cs="Arial"/>
          <w:b/>
          <w:bCs/>
        </w:rPr>
        <w:t>approved</w:t>
      </w:r>
    </w:p>
    <w:p w:rsidR="00BE2F93" w:rsidRDefault="00BE2F93" w:rsidP="00841536">
      <w:pPr>
        <w:spacing w:after="0" w:line="240" w:lineRule="auto"/>
        <w:ind w:left="340" w:right="340"/>
        <w:contextualSpacing/>
        <w:jc w:val="both"/>
        <w:rPr>
          <w:rFonts w:ascii="Arial" w:hAnsi="Arial" w:cs="Arial"/>
        </w:rPr>
      </w:pPr>
    </w:p>
    <w:p w:rsidR="00104586" w:rsidRPr="001D0261" w:rsidRDefault="00BE2F93" w:rsidP="00841536">
      <w:pPr>
        <w:spacing w:after="0" w:line="240" w:lineRule="auto"/>
        <w:ind w:left="340" w:right="340"/>
        <w:contextualSpacing/>
        <w:jc w:val="both"/>
        <w:rPr>
          <w:rFonts w:ascii="Arial" w:hAnsi="Arial" w:cs="Arial"/>
          <w:b/>
          <w:bCs/>
        </w:rPr>
      </w:pPr>
      <w:r>
        <w:rPr>
          <w:rFonts w:ascii="Arial" w:hAnsi="Arial" w:cs="Arial"/>
        </w:rPr>
        <w:t>The</w:t>
      </w:r>
      <w:r w:rsidR="00104586" w:rsidRPr="001D0261">
        <w:rPr>
          <w:rFonts w:ascii="Arial" w:hAnsi="Arial" w:cs="Arial"/>
        </w:rPr>
        <w:t xml:space="preserve"> large merger b</w:t>
      </w:r>
      <w:r>
        <w:rPr>
          <w:rFonts w:ascii="Arial" w:hAnsi="Arial" w:cs="Arial"/>
        </w:rPr>
        <w:t xml:space="preserve">etween </w:t>
      </w:r>
      <w:r w:rsidR="00121E34">
        <w:rPr>
          <w:rFonts w:ascii="Arial" w:hAnsi="Arial" w:cs="Arial"/>
        </w:rPr>
        <w:t xml:space="preserve">Eastern Platinum and Pandora Joint Venture has been approved by the Tribunal. </w:t>
      </w:r>
    </w:p>
    <w:p w:rsidR="00104586" w:rsidRPr="001D0261" w:rsidRDefault="00104586" w:rsidP="00841536">
      <w:pPr>
        <w:spacing w:after="0" w:line="240" w:lineRule="auto"/>
        <w:ind w:left="340" w:right="340"/>
        <w:contextualSpacing/>
        <w:jc w:val="both"/>
        <w:rPr>
          <w:rFonts w:ascii="Arial" w:hAnsi="Arial" w:cs="Arial"/>
        </w:rPr>
      </w:pPr>
    </w:p>
    <w:p w:rsidR="00104586" w:rsidRPr="001D0261" w:rsidRDefault="00104586" w:rsidP="00841536">
      <w:pPr>
        <w:spacing w:after="0" w:line="240" w:lineRule="auto"/>
        <w:ind w:left="340" w:right="340"/>
        <w:contextualSpacing/>
        <w:jc w:val="both"/>
        <w:rPr>
          <w:rFonts w:ascii="Arial" w:hAnsi="Arial" w:cs="Arial"/>
        </w:rPr>
      </w:pPr>
      <w:r w:rsidRPr="001D0261">
        <w:rPr>
          <w:rFonts w:ascii="Arial" w:hAnsi="Arial" w:cs="Arial"/>
        </w:rPr>
        <w:t>Eastern Platinum is a subsidiary of Lonmin plc. Lonmin is engaged in the discovery, extraction, refining and marketing of Platinum Group Metals. It is the third largest primary producer of platinum in the world. It produces ore bearing PGMs (which predominantly contains platinum, palladium and rhodium, but also, to a lesser extent, ruthenium and iridium), that also contains as by-products nickel, copper, chrome as well as a negligible amount of gold.</w:t>
      </w:r>
    </w:p>
    <w:p w:rsidR="00104586" w:rsidRPr="001D0261" w:rsidRDefault="00104586" w:rsidP="00841536">
      <w:pPr>
        <w:spacing w:after="0" w:line="240" w:lineRule="auto"/>
        <w:ind w:left="340" w:right="340"/>
        <w:contextualSpacing/>
        <w:jc w:val="both"/>
        <w:rPr>
          <w:rFonts w:ascii="Arial" w:hAnsi="Arial" w:cs="Arial"/>
        </w:rPr>
      </w:pPr>
    </w:p>
    <w:p w:rsidR="00104586" w:rsidRDefault="00104586" w:rsidP="00841536">
      <w:pPr>
        <w:spacing w:after="0" w:line="240" w:lineRule="auto"/>
        <w:ind w:left="340" w:right="340"/>
        <w:jc w:val="both"/>
        <w:rPr>
          <w:rFonts w:ascii="Arial" w:hAnsi="Arial" w:cs="Arial"/>
        </w:rPr>
      </w:pPr>
      <w:r w:rsidRPr="00C868BD">
        <w:rPr>
          <w:rFonts w:ascii="Arial" w:hAnsi="Arial" w:cs="Arial"/>
        </w:rPr>
        <w:t xml:space="preserve">The Pandora Joint Venture is an unincorporated joint venture currently owned by Eastern Platinum, Rustenburg Platinum Limited and Northam Platinum Limited. Rustenburg Platinum is a wholly owned subsidiary of Anglo American Platinum Limited. </w:t>
      </w:r>
    </w:p>
    <w:p w:rsidR="00104586" w:rsidRPr="00C868BD" w:rsidRDefault="00104586" w:rsidP="00841536">
      <w:pPr>
        <w:spacing w:after="0" w:line="240" w:lineRule="auto"/>
        <w:ind w:left="340" w:right="340"/>
        <w:jc w:val="both"/>
        <w:rPr>
          <w:rFonts w:ascii="Arial" w:hAnsi="Arial" w:cs="Arial"/>
        </w:rPr>
      </w:pPr>
    </w:p>
    <w:p w:rsidR="00104586" w:rsidRDefault="00104586" w:rsidP="00841536">
      <w:pPr>
        <w:spacing w:after="0" w:line="240" w:lineRule="auto"/>
        <w:ind w:left="340" w:right="340"/>
        <w:jc w:val="both"/>
        <w:rPr>
          <w:rFonts w:ascii="Arial" w:hAnsi="Arial" w:cs="Arial"/>
        </w:rPr>
      </w:pPr>
      <w:r w:rsidRPr="00C868BD">
        <w:rPr>
          <w:rFonts w:ascii="Arial" w:hAnsi="Arial" w:cs="Arial"/>
        </w:rPr>
        <w:t>Pandora is jointly controlled by Rustenburg Platinum and Eastern Platinum. Pandora is engaged in the mining of PGM bearing ore</w:t>
      </w:r>
      <w:r w:rsidR="00121E34">
        <w:rPr>
          <w:rFonts w:ascii="Arial" w:hAnsi="Arial" w:cs="Arial"/>
        </w:rPr>
        <w:t>.</w:t>
      </w:r>
    </w:p>
    <w:p w:rsidR="00121E34" w:rsidRPr="00C868BD" w:rsidRDefault="00121E34" w:rsidP="00841536">
      <w:pPr>
        <w:spacing w:after="0" w:line="240" w:lineRule="auto"/>
        <w:ind w:left="340" w:right="340"/>
        <w:jc w:val="both"/>
        <w:rPr>
          <w:rFonts w:ascii="Arial" w:hAnsi="Arial" w:cs="Arial"/>
        </w:rPr>
      </w:pPr>
      <w:r>
        <w:rPr>
          <w:rFonts w:ascii="Arial" w:hAnsi="Arial" w:cs="Arial"/>
        </w:rPr>
        <w:t>In terms of the merger, Lonmin will gain full control of Pandora.</w:t>
      </w:r>
    </w:p>
    <w:p w:rsidR="00104586" w:rsidRPr="001D0261" w:rsidRDefault="00104586" w:rsidP="00841536">
      <w:pPr>
        <w:spacing w:after="0" w:line="240" w:lineRule="auto"/>
        <w:ind w:left="340" w:right="340"/>
        <w:contextualSpacing/>
        <w:jc w:val="both"/>
        <w:rPr>
          <w:rFonts w:ascii="Arial" w:hAnsi="Arial" w:cs="Arial"/>
        </w:rPr>
      </w:pPr>
    </w:p>
    <w:p w:rsidR="00104586" w:rsidRPr="001D0261" w:rsidRDefault="00104586" w:rsidP="00841536">
      <w:pPr>
        <w:spacing w:after="0" w:line="240" w:lineRule="auto"/>
        <w:ind w:left="340" w:right="340"/>
        <w:contextualSpacing/>
        <w:jc w:val="both"/>
        <w:rPr>
          <w:rFonts w:ascii="Arial" w:hAnsi="Arial" w:cs="Arial"/>
        </w:rPr>
      </w:pPr>
    </w:p>
    <w:p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 xml:space="preserve">Issued by: </w:t>
      </w:r>
    </w:p>
    <w:p w:rsidR="00104586" w:rsidRPr="001D0261" w:rsidRDefault="00104586" w:rsidP="00841536">
      <w:pPr>
        <w:spacing w:after="0" w:line="240" w:lineRule="auto"/>
        <w:ind w:left="340" w:right="340"/>
        <w:jc w:val="both"/>
        <w:rPr>
          <w:rFonts w:ascii="Arial" w:hAnsi="Arial" w:cs="Arial"/>
          <w:color w:val="000000"/>
          <w:lang w:eastAsia="en-ZA"/>
        </w:rPr>
      </w:pPr>
      <w:r w:rsidRPr="001D0261">
        <w:rPr>
          <w:rFonts w:ascii="Arial" w:hAnsi="Arial" w:cs="Arial"/>
          <w:color w:val="000000"/>
          <w:lang w:eastAsia="en-ZA"/>
        </w:rPr>
        <w:t xml:space="preserve">Chantelle Benjamin </w:t>
      </w:r>
    </w:p>
    <w:p w:rsidR="00104586" w:rsidRPr="001D0261" w:rsidRDefault="00104586" w:rsidP="00841536">
      <w:pPr>
        <w:spacing w:after="0" w:line="240" w:lineRule="auto"/>
        <w:ind w:left="340" w:right="340"/>
        <w:jc w:val="both"/>
        <w:rPr>
          <w:rFonts w:ascii="Arial" w:hAnsi="Arial" w:cs="Arial"/>
          <w:color w:val="000000"/>
          <w:lang w:eastAsia="en-ZA"/>
        </w:rPr>
      </w:pPr>
      <w:r w:rsidRPr="001D0261">
        <w:rPr>
          <w:rFonts w:ascii="Arial" w:hAnsi="Arial" w:cs="Arial"/>
          <w:color w:val="000000"/>
          <w:lang w:eastAsia="en-ZA"/>
        </w:rPr>
        <w:t>Communications: Competition Tribunal   </w:t>
      </w:r>
    </w:p>
    <w:p w:rsidR="00104586" w:rsidRPr="001D0261" w:rsidRDefault="00104586" w:rsidP="00841536">
      <w:pPr>
        <w:spacing w:after="0" w:line="240" w:lineRule="auto"/>
        <w:ind w:left="340" w:right="340"/>
        <w:jc w:val="both"/>
        <w:rPr>
          <w:rFonts w:ascii="Arial" w:hAnsi="Arial" w:cs="Arial"/>
          <w:color w:val="000000"/>
          <w:lang w:eastAsia="en-ZA"/>
        </w:rPr>
      </w:pPr>
      <w:r w:rsidRPr="001D0261">
        <w:rPr>
          <w:rFonts w:ascii="Arial" w:hAnsi="Arial" w:cs="Arial"/>
          <w:color w:val="000000"/>
          <w:lang w:eastAsia="en-ZA"/>
        </w:rPr>
        <w:t xml:space="preserve">Tel (012)394 1383                                      </w:t>
      </w:r>
    </w:p>
    <w:p w:rsidR="00104586" w:rsidRPr="001D0261" w:rsidRDefault="00104586" w:rsidP="00841536">
      <w:pPr>
        <w:spacing w:after="0" w:line="240" w:lineRule="auto"/>
        <w:ind w:left="340" w:right="340"/>
        <w:jc w:val="both"/>
        <w:rPr>
          <w:rFonts w:ascii="Arial" w:hAnsi="Arial" w:cs="Arial"/>
          <w:color w:val="000000"/>
          <w:lang w:eastAsia="en-ZA"/>
        </w:rPr>
      </w:pPr>
      <w:r w:rsidRPr="001D0261">
        <w:rPr>
          <w:rFonts w:ascii="Arial" w:hAnsi="Arial" w:cs="Arial"/>
          <w:color w:val="000000"/>
          <w:lang w:eastAsia="en-ZA"/>
        </w:rPr>
        <w:t>Cell: +27 (0) 73 007 5603  </w:t>
      </w:r>
    </w:p>
    <w:p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 xml:space="preserve">Twitter: @comptrib                                        </w:t>
      </w:r>
    </w:p>
    <w:p w:rsidR="00104586" w:rsidRPr="001D0261" w:rsidRDefault="00104586" w:rsidP="00841536">
      <w:pPr>
        <w:spacing w:after="0" w:line="240" w:lineRule="auto"/>
        <w:ind w:left="340" w:right="340"/>
        <w:jc w:val="both"/>
        <w:rPr>
          <w:rFonts w:ascii="Arial" w:hAnsi="Arial" w:cs="Arial"/>
        </w:rPr>
      </w:pPr>
      <w:r w:rsidRPr="001D0261">
        <w:rPr>
          <w:rFonts w:ascii="Arial" w:hAnsi="Arial" w:cs="Arial"/>
          <w:color w:val="000000"/>
          <w:lang w:eastAsia="en-ZA"/>
        </w:rPr>
        <w:t xml:space="preserve">E-Mail: </w:t>
      </w:r>
      <w:hyperlink r:id="rId5" w:history="1">
        <w:r w:rsidRPr="001D0261">
          <w:rPr>
            <w:rStyle w:val="Hyperlink"/>
            <w:rFonts w:ascii="Arial" w:hAnsi="Arial" w:cs="Arial"/>
            <w:lang w:eastAsia="en-ZA"/>
          </w:rPr>
          <w:t>chantelleb@comptrib.co.za</w:t>
        </w:r>
      </w:hyperlink>
      <w:r w:rsidRPr="001D0261">
        <w:rPr>
          <w:rFonts w:ascii="Arial" w:hAnsi="Arial" w:cs="Arial"/>
        </w:rPr>
        <w:t xml:space="preserve"> </w:t>
      </w:r>
    </w:p>
    <w:p w:rsidR="00104586" w:rsidRPr="001D0261" w:rsidRDefault="00104586" w:rsidP="00841536">
      <w:pPr>
        <w:spacing w:after="0" w:line="240" w:lineRule="auto"/>
        <w:ind w:left="340" w:right="340"/>
        <w:jc w:val="both"/>
        <w:rPr>
          <w:rFonts w:ascii="Arial" w:hAnsi="Arial" w:cs="Arial"/>
          <w:color w:val="000000"/>
        </w:rPr>
      </w:pPr>
    </w:p>
    <w:p w:rsidR="00104586" w:rsidRPr="001D0261" w:rsidRDefault="00104586" w:rsidP="00841536">
      <w:pPr>
        <w:spacing w:after="0" w:line="240" w:lineRule="auto"/>
        <w:ind w:left="340" w:right="340"/>
        <w:jc w:val="both"/>
        <w:rPr>
          <w:rFonts w:ascii="Arial" w:hAnsi="Arial" w:cs="Arial"/>
          <w:color w:val="000000"/>
        </w:rPr>
      </w:pPr>
    </w:p>
    <w:p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On Behalf Of:</w:t>
      </w:r>
    </w:p>
    <w:p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Lerato Motaung                                                   </w:t>
      </w:r>
    </w:p>
    <w:p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 xml:space="preserve">Registrar: Competition Tribunal                                         </w:t>
      </w:r>
    </w:p>
    <w:p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 xml:space="preserve">Tel: (012) 394 3355                                              </w:t>
      </w:r>
    </w:p>
    <w:p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 xml:space="preserve">Cell: +27 (0) 82 556 3221                                               </w:t>
      </w:r>
    </w:p>
    <w:p w:rsidR="00104586" w:rsidRPr="001D0261" w:rsidRDefault="00104586" w:rsidP="00841536">
      <w:pPr>
        <w:spacing w:after="0" w:line="240" w:lineRule="auto"/>
        <w:ind w:left="340" w:right="340"/>
        <w:jc w:val="both"/>
        <w:rPr>
          <w:rFonts w:ascii="Arial" w:hAnsi="Arial" w:cs="Arial"/>
        </w:rPr>
      </w:pPr>
      <w:r w:rsidRPr="001D0261">
        <w:rPr>
          <w:rFonts w:ascii="Arial" w:hAnsi="Arial" w:cs="Arial"/>
          <w:color w:val="000000"/>
          <w:lang w:eastAsia="en-ZA"/>
        </w:rPr>
        <w:t xml:space="preserve">E-Mail: </w:t>
      </w:r>
      <w:hyperlink r:id="rId6" w:history="1">
        <w:r w:rsidRPr="001D0261">
          <w:rPr>
            <w:rStyle w:val="Hyperlink"/>
            <w:rFonts w:ascii="Arial" w:hAnsi="Arial" w:cs="Arial"/>
            <w:lang w:eastAsia="en-ZA"/>
          </w:rPr>
          <w:t>LeratoM@comptrib.co.za</w:t>
        </w:r>
      </w:hyperlink>
    </w:p>
    <w:p w:rsidR="00104586" w:rsidRDefault="00104586" w:rsidP="00841536">
      <w:pPr>
        <w:spacing w:after="0" w:line="240" w:lineRule="auto"/>
        <w:ind w:left="340" w:right="340"/>
        <w:jc w:val="both"/>
      </w:pPr>
    </w:p>
    <w:p w:rsidR="00104586" w:rsidRDefault="00104586" w:rsidP="00841536">
      <w:pPr>
        <w:spacing w:after="0" w:line="240" w:lineRule="auto"/>
        <w:ind w:left="340" w:right="340"/>
        <w:jc w:val="both"/>
      </w:pPr>
    </w:p>
    <w:p w:rsidR="003E6D12" w:rsidRDefault="00F63FA3"/>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86"/>
    <w:rsid w:val="00085BB7"/>
    <w:rsid w:val="00104586"/>
    <w:rsid w:val="001145AC"/>
    <w:rsid w:val="00121E34"/>
    <w:rsid w:val="00177CEB"/>
    <w:rsid w:val="00181989"/>
    <w:rsid w:val="002A5A09"/>
    <w:rsid w:val="003F5EB3"/>
    <w:rsid w:val="004755EC"/>
    <w:rsid w:val="00686AE0"/>
    <w:rsid w:val="007F1B92"/>
    <w:rsid w:val="00841536"/>
    <w:rsid w:val="008A48F7"/>
    <w:rsid w:val="00936C62"/>
    <w:rsid w:val="009646C2"/>
    <w:rsid w:val="00A57A82"/>
    <w:rsid w:val="00BE2F93"/>
    <w:rsid w:val="00CB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9F462-CB6E-46A4-B41B-1C4BE9CD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586"/>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586"/>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045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5</cp:revision>
  <dcterms:created xsi:type="dcterms:W3CDTF">2017-05-18T10:34:00Z</dcterms:created>
  <dcterms:modified xsi:type="dcterms:W3CDTF">2017-05-18T10:45:00Z</dcterms:modified>
</cp:coreProperties>
</file>