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E2" w:rsidRPr="00B0166C" w:rsidRDefault="00802BE2" w:rsidP="00120283">
      <w:pPr>
        <w:spacing w:after="0" w:line="240" w:lineRule="auto"/>
        <w:ind w:left="397" w:right="397"/>
        <w:jc w:val="center"/>
        <w:rPr>
          <w:rFonts w:ascii="Arial" w:hAnsi="Arial" w:cs="Arial"/>
          <w:b/>
        </w:rPr>
      </w:pPr>
      <w:r w:rsidRPr="00B0166C">
        <w:rPr>
          <w:rFonts w:ascii="Arial" w:hAnsi="Arial" w:cs="Arial"/>
          <w:b/>
          <w:noProof/>
          <w:lang w:eastAsia="en-ZA"/>
        </w:rPr>
        <w:drawing>
          <wp:inline distT="0" distB="0" distL="0" distR="0" wp14:anchorId="44226CC1" wp14:editId="77B30373">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802BE2" w:rsidRPr="00B0166C" w:rsidRDefault="00802BE2" w:rsidP="00120283">
      <w:pPr>
        <w:spacing w:after="0" w:line="240" w:lineRule="auto"/>
        <w:ind w:left="397" w:right="397"/>
        <w:jc w:val="center"/>
        <w:rPr>
          <w:rFonts w:ascii="Arial" w:hAnsi="Arial" w:cs="Arial"/>
          <w:b/>
        </w:rPr>
      </w:pPr>
    </w:p>
    <w:p w:rsidR="00802BE2" w:rsidRPr="00B0166C" w:rsidRDefault="00802BE2" w:rsidP="00120283">
      <w:pPr>
        <w:spacing w:after="0" w:line="240" w:lineRule="auto"/>
        <w:ind w:left="397" w:right="397"/>
        <w:jc w:val="center"/>
        <w:rPr>
          <w:rFonts w:ascii="Arial" w:hAnsi="Arial" w:cs="Arial"/>
          <w:b/>
        </w:rPr>
      </w:pPr>
    </w:p>
    <w:p w:rsidR="00802BE2" w:rsidRPr="00B0166C" w:rsidRDefault="00802BE2" w:rsidP="00120283">
      <w:pPr>
        <w:spacing w:after="0" w:line="240" w:lineRule="auto"/>
        <w:ind w:left="454" w:right="454"/>
        <w:jc w:val="center"/>
        <w:rPr>
          <w:rFonts w:ascii="Arial" w:hAnsi="Arial" w:cs="Arial"/>
          <w:b/>
        </w:rPr>
      </w:pPr>
    </w:p>
    <w:p w:rsidR="00802BE2" w:rsidRPr="00B0166C" w:rsidRDefault="0013117E" w:rsidP="0013117E">
      <w:pPr>
        <w:spacing w:after="0" w:line="240" w:lineRule="auto"/>
        <w:ind w:left="454" w:right="454"/>
        <w:rPr>
          <w:rFonts w:ascii="Arial" w:hAnsi="Arial" w:cs="Arial"/>
          <w:b/>
        </w:rPr>
      </w:pPr>
      <w:r>
        <w:rPr>
          <w:rFonts w:ascii="Arial" w:hAnsi="Arial" w:cs="Arial"/>
          <w:b/>
        </w:rPr>
        <w:t xml:space="preserve"> OUTCOME OF </w:t>
      </w:r>
      <w:r w:rsidR="00802BE2" w:rsidRPr="00B0166C">
        <w:rPr>
          <w:rFonts w:ascii="Arial" w:hAnsi="Arial" w:cs="Arial"/>
          <w:b/>
        </w:rPr>
        <w:t>TRIBUNAL ROLL FOR WEDNESDAY</w:t>
      </w:r>
      <w:r w:rsidR="008B6260">
        <w:rPr>
          <w:rFonts w:ascii="Arial" w:hAnsi="Arial" w:cs="Arial"/>
          <w:b/>
        </w:rPr>
        <w:t>,</w:t>
      </w:r>
      <w:r w:rsidR="00F16C47">
        <w:rPr>
          <w:rFonts w:ascii="Arial" w:hAnsi="Arial" w:cs="Arial"/>
          <w:b/>
        </w:rPr>
        <w:t xml:space="preserve"> 3 MAY</w:t>
      </w:r>
      <w:r w:rsidR="008B6260">
        <w:rPr>
          <w:rFonts w:ascii="Arial" w:hAnsi="Arial" w:cs="Arial"/>
          <w:b/>
        </w:rPr>
        <w:t xml:space="preserve"> 2017</w:t>
      </w:r>
    </w:p>
    <w:p w:rsidR="00802BE2" w:rsidRPr="00B0166C" w:rsidRDefault="00802BE2" w:rsidP="00120283">
      <w:pPr>
        <w:spacing w:after="0" w:line="240" w:lineRule="auto"/>
        <w:ind w:left="454" w:right="454"/>
        <w:jc w:val="both"/>
        <w:rPr>
          <w:rFonts w:ascii="Arial" w:hAnsi="Arial" w:cs="Arial"/>
        </w:rPr>
      </w:pPr>
    </w:p>
    <w:p w:rsidR="00802BE2" w:rsidRPr="00B0166C" w:rsidRDefault="00802BE2" w:rsidP="00120283">
      <w:pPr>
        <w:spacing w:after="0" w:line="240" w:lineRule="auto"/>
        <w:ind w:left="454" w:right="454"/>
        <w:jc w:val="both"/>
        <w:rPr>
          <w:rFonts w:ascii="Arial" w:hAnsi="Arial" w:cs="Arial"/>
          <w:b/>
        </w:rPr>
      </w:pPr>
    </w:p>
    <w:p w:rsidR="00802BE2" w:rsidRPr="00B0166C" w:rsidRDefault="00802BE2" w:rsidP="00120283">
      <w:pPr>
        <w:spacing w:after="0" w:line="240" w:lineRule="auto"/>
        <w:ind w:left="454" w:right="454"/>
        <w:jc w:val="both"/>
        <w:rPr>
          <w:rFonts w:ascii="Arial" w:hAnsi="Arial" w:cs="Arial"/>
        </w:rPr>
      </w:pPr>
    </w:p>
    <w:tbl>
      <w:tblPr>
        <w:tblStyle w:val="TableGrid"/>
        <w:tblW w:w="9350"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056"/>
        <w:gridCol w:w="3122"/>
        <w:gridCol w:w="2782"/>
        <w:gridCol w:w="1390"/>
      </w:tblGrid>
      <w:tr w:rsidR="009B1954" w:rsidRPr="00B0166C" w:rsidTr="009B1954">
        <w:trPr>
          <w:trHeight w:val="972"/>
        </w:trPr>
        <w:tc>
          <w:tcPr>
            <w:tcW w:w="2056" w:type="dxa"/>
            <w:shd w:val="clear" w:color="auto" w:fill="996633"/>
          </w:tcPr>
          <w:p w:rsidR="009B1954" w:rsidRPr="00B0166C" w:rsidRDefault="009B1954" w:rsidP="009B1954">
            <w:pPr>
              <w:ind w:left="454" w:right="454"/>
              <w:rPr>
                <w:rFonts w:ascii="Arial" w:hAnsi="Arial" w:cs="Arial"/>
                <w:color w:val="FFFFFF" w:themeColor="background1"/>
              </w:rPr>
            </w:pPr>
            <w:r w:rsidRPr="00B0166C">
              <w:rPr>
                <w:rFonts w:ascii="Arial" w:hAnsi="Arial" w:cs="Arial"/>
                <w:color w:val="FFFFFF" w:themeColor="background1"/>
              </w:rPr>
              <w:t>Type of matter</w:t>
            </w:r>
          </w:p>
        </w:tc>
        <w:tc>
          <w:tcPr>
            <w:tcW w:w="3122" w:type="dxa"/>
            <w:shd w:val="clear" w:color="auto" w:fill="996633"/>
          </w:tcPr>
          <w:p w:rsidR="009B1954" w:rsidRPr="00B0166C" w:rsidRDefault="009B1954" w:rsidP="009B1954">
            <w:pPr>
              <w:ind w:left="454" w:right="454"/>
              <w:rPr>
                <w:rFonts w:ascii="Arial" w:hAnsi="Arial" w:cs="Arial"/>
                <w:color w:val="FFFFFF" w:themeColor="background1"/>
              </w:rPr>
            </w:pPr>
            <w:r w:rsidRPr="00B0166C">
              <w:rPr>
                <w:rFonts w:ascii="Arial" w:hAnsi="Arial" w:cs="Arial"/>
                <w:color w:val="FFFFFF" w:themeColor="background1"/>
              </w:rPr>
              <w:t>Parties involved</w:t>
            </w:r>
          </w:p>
        </w:tc>
        <w:tc>
          <w:tcPr>
            <w:tcW w:w="2782" w:type="dxa"/>
            <w:shd w:val="clear" w:color="auto" w:fill="996633"/>
          </w:tcPr>
          <w:p w:rsidR="009B1954" w:rsidRPr="00B0166C" w:rsidRDefault="009B1954" w:rsidP="009B1954">
            <w:pPr>
              <w:ind w:left="454" w:right="454"/>
              <w:rPr>
                <w:rFonts w:ascii="Arial" w:hAnsi="Arial" w:cs="Arial"/>
                <w:color w:val="FFFFFF" w:themeColor="background1"/>
              </w:rPr>
            </w:pPr>
            <w:r w:rsidRPr="00B0166C">
              <w:rPr>
                <w:rFonts w:ascii="Arial" w:hAnsi="Arial" w:cs="Arial"/>
                <w:color w:val="FFFFFF" w:themeColor="background1"/>
              </w:rPr>
              <w:t>Competition Commission’s recommendation to Tribunal</w:t>
            </w:r>
          </w:p>
        </w:tc>
        <w:tc>
          <w:tcPr>
            <w:tcW w:w="1390" w:type="dxa"/>
            <w:shd w:val="clear" w:color="auto" w:fill="996633"/>
          </w:tcPr>
          <w:p w:rsidR="009B1954" w:rsidRDefault="009B1954" w:rsidP="009B1954">
            <w:r w:rsidRPr="009B1954">
              <w:rPr>
                <w:color w:val="FFFFFF" w:themeColor="background1"/>
              </w:rPr>
              <w:t xml:space="preserve">Decision by Competition Tribunal </w:t>
            </w:r>
          </w:p>
        </w:tc>
      </w:tr>
      <w:tr w:rsidR="009B1954" w:rsidRPr="00B0166C" w:rsidTr="009B1954">
        <w:trPr>
          <w:trHeight w:val="493"/>
        </w:trPr>
        <w:tc>
          <w:tcPr>
            <w:tcW w:w="2056" w:type="dxa"/>
          </w:tcPr>
          <w:p w:rsidR="009B1954" w:rsidRPr="00B0166C" w:rsidRDefault="009B1954" w:rsidP="009B1954">
            <w:pPr>
              <w:ind w:left="454" w:right="454"/>
              <w:jc w:val="both"/>
              <w:rPr>
                <w:rFonts w:ascii="Arial" w:hAnsi="Arial" w:cs="Arial"/>
              </w:rPr>
            </w:pPr>
            <w:r>
              <w:rPr>
                <w:rFonts w:ascii="Arial" w:hAnsi="Arial" w:cs="Arial"/>
              </w:rPr>
              <w:t xml:space="preserve">Large merger </w:t>
            </w:r>
          </w:p>
        </w:tc>
        <w:tc>
          <w:tcPr>
            <w:tcW w:w="3122" w:type="dxa"/>
          </w:tcPr>
          <w:p w:rsidR="009B1954" w:rsidRPr="00C75B3E" w:rsidRDefault="009B1954" w:rsidP="009B1954">
            <w:pPr>
              <w:ind w:left="454" w:right="454"/>
              <w:jc w:val="both"/>
              <w:rPr>
                <w:rFonts w:ascii="Arial" w:hAnsi="Arial" w:cs="Arial"/>
              </w:rPr>
            </w:pPr>
            <w:r>
              <w:rPr>
                <w:rFonts w:ascii="Arial" w:hAnsi="Arial" w:cs="Arial"/>
                <w:color w:val="000000"/>
              </w:rPr>
              <w:t xml:space="preserve">Government Employees Pension Fund/Compensation Fund AND LA Crushers </w:t>
            </w:r>
          </w:p>
        </w:tc>
        <w:tc>
          <w:tcPr>
            <w:tcW w:w="2782" w:type="dxa"/>
          </w:tcPr>
          <w:p w:rsidR="009B1954" w:rsidRPr="00B0166C" w:rsidRDefault="009B1954" w:rsidP="009B1954">
            <w:pPr>
              <w:ind w:left="454" w:right="454"/>
              <w:jc w:val="both"/>
              <w:rPr>
                <w:rFonts w:ascii="Arial" w:hAnsi="Arial" w:cs="Arial"/>
              </w:rPr>
            </w:pPr>
            <w:r>
              <w:rPr>
                <w:rFonts w:ascii="Arial" w:hAnsi="Arial" w:cs="Arial"/>
              </w:rPr>
              <w:t xml:space="preserve">Approve without conditions </w:t>
            </w:r>
          </w:p>
        </w:tc>
        <w:tc>
          <w:tcPr>
            <w:tcW w:w="1390" w:type="dxa"/>
          </w:tcPr>
          <w:p w:rsidR="009B1954" w:rsidRDefault="009B1954" w:rsidP="009B1954">
            <w:r>
              <w:rPr>
                <w:rFonts w:ascii="Arial" w:hAnsi="Arial" w:cs="Arial"/>
              </w:rPr>
              <w:t>Approval without conditions</w:t>
            </w:r>
          </w:p>
        </w:tc>
      </w:tr>
    </w:tbl>
    <w:p w:rsidR="0097505D" w:rsidRPr="00B0166C" w:rsidRDefault="0097505D" w:rsidP="00120283">
      <w:pPr>
        <w:spacing w:after="0" w:line="240" w:lineRule="auto"/>
        <w:ind w:left="454" w:right="454"/>
        <w:jc w:val="both"/>
        <w:rPr>
          <w:rFonts w:ascii="Arial" w:eastAsia="Calibri" w:hAnsi="Arial" w:cs="Arial"/>
          <w:b/>
        </w:rPr>
      </w:pPr>
    </w:p>
    <w:p w:rsidR="0030708E" w:rsidRDefault="0030708E" w:rsidP="00120283">
      <w:pPr>
        <w:spacing w:after="0" w:line="240" w:lineRule="auto"/>
        <w:ind w:left="454" w:right="454"/>
        <w:jc w:val="both"/>
        <w:rPr>
          <w:rFonts w:ascii="Arial" w:hAnsi="Arial" w:cs="Arial"/>
        </w:rPr>
      </w:pPr>
    </w:p>
    <w:p w:rsidR="00F16C47" w:rsidRPr="00F16C47" w:rsidRDefault="00DD52A9" w:rsidP="00120283">
      <w:pPr>
        <w:autoSpaceDE w:val="0"/>
        <w:autoSpaceDN w:val="0"/>
        <w:spacing w:after="0"/>
        <w:ind w:left="454" w:right="454"/>
        <w:jc w:val="both"/>
        <w:rPr>
          <w:rFonts w:ascii="Arial" w:hAnsi="Arial" w:cs="Arial"/>
          <w:b/>
          <w:bCs/>
        </w:rPr>
      </w:pPr>
      <w:r>
        <w:rPr>
          <w:rFonts w:ascii="Arial" w:hAnsi="Arial" w:cs="Arial"/>
          <w:b/>
          <w:bCs/>
        </w:rPr>
        <w:t xml:space="preserve">Merger approved between </w:t>
      </w:r>
      <w:r w:rsidR="000A0AF1">
        <w:rPr>
          <w:rFonts w:ascii="Arial" w:hAnsi="Arial" w:cs="Arial"/>
          <w:b/>
          <w:bCs/>
        </w:rPr>
        <w:t xml:space="preserve">LA Crushers </w:t>
      </w:r>
      <w:r>
        <w:rPr>
          <w:rFonts w:ascii="Arial" w:hAnsi="Arial" w:cs="Arial"/>
          <w:b/>
          <w:bCs/>
        </w:rPr>
        <w:t xml:space="preserve">and </w:t>
      </w:r>
      <w:r w:rsidR="000A0AF1">
        <w:rPr>
          <w:rFonts w:ascii="Arial" w:hAnsi="Arial" w:cs="Arial"/>
          <w:b/>
          <w:bCs/>
        </w:rPr>
        <w:t>Public Investment</w:t>
      </w:r>
      <w:r w:rsidR="00112C69">
        <w:rPr>
          <w:rFonts w:ascii="Arial" w:hAnsi="Arial" w:cs="Arial"/>
          <w:b/>
          <w:bCs/>
        </w:rPr>
        <w:t xml:space="preserve"> </w:t>
      </w:r>
      <w:r w:rsidR="000A0AF1">
        <w:rPr>
          <w:rFonts w:ascii="Arial" w:hAnsi="Arial" w:cs="Arial"/>
          <w:b/>
          <w:bCs/>
        </w:rPr>
        <w:t xml:space="preserve">Corporation representing the </w:t>
      </w:r>
      <w:r w:rsidR="00F16C47" w:rsidRPr="00F16C47">
        <w:rPr>
          <w:rFonts w:ascii="Arial" w:hAnsi="Arial" w:cs="Arial"/>
          <w:b/>
          <w:bCs/>
        </w:rPr>
        <w:t xml:space="preserve">Government Employees Pension Fund and Compensation Fund </w:t>
      </w:r>
    </w:p>
    <w:p w:rsidR="00F16C47" w:rsidRDefault="00F16C47" w:rsidP="00120283">
      <w:pPr>
        <w:pStyle w:val="ListParagraph"/>
        <w:autoSpaceDE w:val="0"/>
        <w:autoSpaceDN w:val="0"/>
        <w:spacing w:after="0"/>
        <w:ind w:left="454" w:right="454"/>
        <w:jc w:val="both"/>
        <w:rPr>
          <w:rFonts w:ascii="Arial" w:hAnsi="Arial" w:cs="Arial"/>
        </w:rPr>
      </w:pPr>
    </w:p>
    <w:p w:rsidR="00225618" w:rsidRDefault="00225618" w:rsidP="00120283">
      <w:pPr>
        <w:pStyle w:val="ListParagraph"/>
        <w:ind w:left="454" w:right="454"/>
        <w:rPr>
          <w:rFonts w:ascii="Arial" w:hAnsi="Arial" w:cs="Arial"/>
        </w:rPr>
      </w:pPr>
      <w:r w:rsidRPr="006B5269">
        <w:rPr>
          <w:rFonts w:ascii="Arial" w:hAnsi="Arial" w:cs="Arial"/>
        </w:rPr>
        <w:t>In this merger the primary acquiring firms are the Government Employment Pension Fund (GEPF) and the Compensation Fund (CF), represented by the Public Investment Corporation SOC Limited (PIC). The primary target firm is LA Crushers (Pty) Ltd, a load and haul materials</w:t>
      </w:r>
      <w:r w:rsidR="00112C69">
        <w:rPr>
          <w:rFonts w:ascii="Arial" w:hAnsi="Arial" w:cs="Arial"/>
        </w:rPr>
        <w:t xml:space="preserve"> service</w:t>
      </w:r>
      <w:r w:rsidRPr="006B5269">
        <w:rPr>
          <w:rFonts w:ascii="Arial" w:hAnsi="Arial" w:cs="Arial"/>
        </w:rPr>
        <w:t xml:space="preserve"> </w:t>
      </w:r>
      <w:r w:rsidR="00FB3450">
        <w:rPr>
          <w:rFonts w:ascii="Arial" w:hAnsi="Arial" w:cs="Arial"/>
        </w:rPr>
        <w:t xml:space="preserve">handling </w:t>
      </w:r>
      <w:r w:rsidRPr="006B5269">
        <w:rPr>
          <w:rFonts w:ascii="Arial" w:hAnsi="Arial" w:cs="Arial"/>
        </w:rPr>
        <w:t xml:space="preserve">provider. </w:t>
      </w:r>
    </w:p>
    <w:p w:rsidR="00DD52A9" w:rsidRDefault="00DD52A9" w:rsidP="00120283">
      <w:pPr>
        <w:pStyle w:val="ListParagraph"/>
        <w:ind w:left="454" w:right="454"/>
        <w:rPr>
          <w:rFonts w:ascii="Arial" w:hAnsi="Arial" w:cs="Arial"/>
        </w:rPr>
      </w:pPr>
    </w:p>
    <w:p w:rsidR="00DD52A9" w:rsidRPr="006B5269" w:rsidRDefault="00DD52A9" w:rsidP="00120283">
      <w:pPr>
        <w:pStyle w:val="ListParagraph"/>
        <w:ind w:left="454" w:right="454"/>
        <w:rPr>
          <w:rFonts w:ascii="Arial" w:hAnsi="Arial" w:cs="Arial"/>
        </w:rPr>
      </w:pPr>
      <w:r>
        <w:rPr>
          <w:rFonts w:ascii="Arial" w:hAnsi="Arial" w:cs="Arial"/>
        </w:rPr>
        <w:t>The Competition Tribunal has approved the merger without conditions. The merger will give the PIC control of LA Crushers</w:t>
      </w:r>
      <w:r w:rsidR="005B3C64">
        <w:rPr>
          <w:rFonts w:ascii="Arial" w:hAnsi="Arial" w:cs="Arial"/>
        </w:rPr>
        <w:t>, a technically insolvent company,</w:t>
      </w:r>
      <w:r>
        <w:rPr>
          <w:rFonts w:ascii="Arial" w:hAnsi="Arial" w:cs="Arial"/>
        </w:rPr>
        <w:t xml:space="preserve"> in its capacity as an agent of GEPF and CF.</w:t>
      </w:r>
      <w:r w:rsidR="005B3C64">
        <w:rPr>
          <w:rFonts w:ascii="Arial" w:hAnsi="Arial" w:cs="Arial"/>
        </w:rPr>
        <w:t xml:space="preserve"> </w:t>
      </w:r>
    </w:p>
    <w:p w:rsidR="00225618" w:rsidRPr="006B5269" w:rsidRDefault="00225618" w:rsidP="00120283">
      <w:pPr>
        <w:pStyle w:val="ListParagraph"/>
        <w:ind w:left="454" w:right="454"/>
        <w:rPr>
          <w:rFonts w:ascii="Arial" w:hAnsi="Arial" w:cs="Arial"/>
        </w:rPr>
      </w:pPr>
    </w:p>
    <w:p w:rsidR="00225618" w:rsidRPr="006B5269" w:rsidRDefault="00F16C47" w:rsidP="00120283">
      <w:pPr>
        <w:pStyle w:val="ListParagraph"/>
        <w:ind w:left="454" w:right="454"/>
        <w:rPr>
          <w:rFonts w:ascii="Arial" w:hAnsi="Arial" w:cs="Arial"/>
          <w:lang w:val="en-US"/>
        </w:rPr>
      </w:pPr>
      <w:r w:rsidRPr="006B5269">
        <w:rPr>
          <w:rFonts w:ascii="Arial" w:hAnsi="Arial" w:cs="Arial"/>
          <w:lang w:val="en-US"/>
        </w:rPr>
        <w:t xml:space="preserve">The GEPF and CF invests in various classes of assets including equities, property and fixed income which the PIC has been appointed to manage. The PIC effectively acts as a fund manager to the GEPF. </w:t>
      </w:r>
    </w:p>
    <w:p w:rsidR="00225618" w:rsidRPr="006B5269" w:rsidRDefault="00225618" w:rsidP="00120283">
      <w:pPr>
        <w:pStyle w:val="ListParagraph"/>
        <w:ind w:left="454" w:right="454"/>
        <w:rPr>
          <w:rFonts w:ascii="Arial" w:hAnsi="Arial" w:cs="Arial"/>
          <w:lang w:val="en-US"/>
        </w:rPr>
      </w:pPr>
    </w:p>
    <w:p w:rsidR="00F16C47" w:rsidRPr="006B5269" w:rsidRDefault="00F16C47" w:rsidP="00120283">
      <w:pPr>
        <w:pStyle w:val="ListParagraph"/>
        <w:ind w:left="454" w:right="454"/>
        <w:rPr>
          <w:rFonts w:ascii="Arial" w:hAnsi="Arial" w:cs="Arial"/>
          <w:lang w:val="en-US"/>
        </w:rPr>
      </w:pPr>
      <w:r w:rsidRPr="006B5269">
        <w:rPr>
          <w:rFonts w:ascii="Arial" w:hAnsi="Arial" w:cs="Arial"/>
          <w:lang w:val="en-US"/>
        </w:rPr>
        <w:t>The GEPF is a juristic person with its core business in the management and administration of pensions and other benefits for government empl</w:t>
      </w:r>
      <w:r w:rsidR="00225618" w:rsidRPr="006B5269">
        <w:rPr>
          <w:rFonts w:ascii="Arial" w:hAnsi="Arial" w:cs="Arial"/>
          <w:lang w:val="en-US"/>
        </w:rPr>
        <w:t xml:space="preserve">oyees, while the </w:t>
      </w:r>
      <w:r w:rsidRPr="006B5269">
        <w:rPr>
          <w:rFonts w:ascii="Arial" w:hAnsi="Arial" w:cs="Arial"/>
          <w:lang w:val="en-US"/>
        </w:rPr>
        <w:t>CF is a public entity mandated to fulfil specific economic and social responsibilities of government.</w:t>
      </w:r>
      <w:r w:rsidR="00225618" w:rsidRPr="006B5269">
        <w:rPr>
          <w:rFonts w:ascii="Arial" w:hAnsi="Arial" w:cs="Arial"/>
          <w:lang w:val="en-US"/>
        </w:rPr>
        <w:t xml:space="preserve"> The CF </w:t>
      </w:r>
      <w:r w:rsidRPr="006B5269">
        <w:rPr>
          <w:rFonts w:ascii="Arial" w:hAnsi="Arial" w:cs="Arial"/>
          <w:lang w:val="en-US"/>
        </w:rPr>
        <w:t>administers the compensation of occupational injuries and diseases in terms of the Compensation of Occupational Injuries and Diseases Act.</w:t>
      </w:r>
    </w:p>
    <w:p w:rsidR="00DD52A9" w:rsidRDefault="00DD52A9" w:rsidP="00DD52A9">
      <w:pPr>
        <w:spacing w:after="0" w:line="276" w:lineRule="auto"/>
        <w:ind w:left="397" w:right="397"/>
        <w:jc w:val="both"/>
        <w:rPr>
          <w:rFonts w:ascii="Arial" w:hAnsi="Arial" w:cs="Arial"/>
          <w:lang w:val="en-US"/>
        </w:rPr>
      </w:pPr>
      <w:r>
        <w:rPr>
          <w:rFonts w:ascii="Arial" w:hAnsi="Arial" w:cs="Arial"/>
          <w:lang w:val="en-US"/>
        </w:rPr>
        <w:t xml:space="preserve">  </w:t>
      </w:r>
      <w:r w:rsidR="00225618" w:rsidRPr="006B5269">
        <w:rPr>
          <w:rFonts w:ascii="Arial" w:hAnsi="Arial" w:cs="Arial"/>
          <w:lang w:val="en-US"/>
        </w:rPr>
        <w:t xml:space="preserve">LA Crushers’ </w:t>
      </w:r>
      <w:r w:rsidR="00F16C47" w:rsidRPr="006B5269">
        <w:rPr>
          <w:rFonts w:ascii="Arial" w:hAnsi="Arial" w:cs="Arial"/>
          <w:lang w:val="en-US"/>
        </w:rPr>
        <w:t xml:space="preserve">service and product offerings comprise mining load and haul, civil and </w:t>
      </w:r>
      <w:r>
        <w:rPr>
          <w:rFonts w:ascii="Arial" w:hAnsi="Arial" w:cs="Arial"/>
          <w:lang w:val="en-US"/>
        </w:rPr>
        <w:t xml:space="preserve">                </w:t>
      </w:r>
    </w:p>
    <w:p w:rsidR="00DD52A9" w:rsidRDefault="00DD52A9" w:rsidP="00DD52A9">
      <w:pPr>
        <w:spacing w:after="0" w:line="276" w:lineRule="auto"/>
        <w:ind w:left="397" w:right="397"/>
        <w:jc w:val="both"/>
        <w:rPr>
          <w:rFonts w:ascii="Arial" w:hAnsi="Arial" w:cs="Arial"/>
          <w:lang w:val="en-US"/>
        </w:rPr>
      </w:pPr>
    </w:p>
    <w:p w:rsidR="00DD52A9" w:rsidRDefault="00DD52A9" w:rsidP="00DD52A9">
      <w:pPr>
        <w:spacing w:after="0" w:line="276" w:lineRule="auto"/>
        <w:ind w:left="397" w:right="397"/>
        <w:jc w:val="both"/>
        <w:rPr>
          <w:rFonts w:ascii="Arial" w:hAnsi="Arial" w:cs="Arial"/>
          <w:lang w:val="en-US"/>
        </w:rPr>
      </w:pPr>
    </w:p>
    <w:p w:rsidR="00F16C47" w:rsidRPr="006B5269" w:rsidRDefault="00F16C47" w:rsidP="00DD52A9">
      <w:pPr>
        <w:spacing w:after="0" w:line="276" w:lineRule="auto"/>
        <w:ind w:left="397" w:right="397"/>
        <w:jc w:val="both"/>
        <w:rPr>
          <w:rFonts w:ascii="Arial" w:hAnsi="Arial" w:cs="Arial"/>
          <w:lang w:val="en-US"/>
        </w:rPr>
      </w:pPr>
      <w:proofErr w:type="gramStart"/>
      <w:r w:rsidRPr="006B5269">
        <w:rPr>
          <w:rFonts w:ascii="Arial" w:hAnsi="Arial" w:cs="Arial"/>
          <w:lang w:val="en-US"/>
        </w:rPr>
        <w:t>earthworks</w:t>
      </w:r>
      <w:proofErr w:type="gramEnd"/>
      <w:r w:rsidRPr="006B5269">
        <w:rPr>
          <w:rFonts w:ascii="Arial" w:hAnsi="Arial" w:cs="Arial"/>
          <w:lang w:val="en-US"/>
        </w:rPr>
        <w:t xml:space="preserve">, materials handling, crushing and screening, magnetite handling, ready mix production and mining rehabilitation. </w:t>
      </w:r>
    </w:p>
    <w:p w:rsidR="009B1954" w:rsidRDefault="009B1954" w:rsidP="00120283">
      <w:pPr>
        <w:spacing w:after="0" w:line="240" w:lineRule="auto"/>
        <w:ind w:left="454" w:right="454"/>
        <w:jc w:val="both"/>
        <w:rPr>
          <w:rFonts w:ascii="Arial" w:hAnsi="Arial" w:cs="Arial"/>
          <w:color w:val="000000"/>
          <w:lang w:eastAsia="en-ZA"/>
        </w:rPr>
      </w:pPr>
    </w:p>
    <w:p w:rsidR="00802BE2" w:rsidRPr="00B0166C" w:rsidRDefault="00802BE2" w:rsidP="00120283">
      <w:pPr>
        <w:spacing w:after="0" w:line="240" w:lineRule="auto"/>
        <w:ind w:left="454" w:right="454"/>
        <w:jc w:val="both"/>
        <w:rPr>
          <w:rFonts w:ascii="Arial" w:hAnsi="Arial" w:cs="Arial"/>
          <w:lang w:eastAsia="en-ZA"/>
        </w:rPr>
      </w:pPr>
      <w:r w:rsidRPr="00B0166C">
        <w:rPr>
          <w:rFonts w:ascii="Arial" w:hAnsi="Arial" w:cs="Arial"/>
          <w:color w:val="000000"/>
          <w:lang w:eastAsia="en-ZA"/>
        </w:rPr>
        <w:t xml:space="preserve">Issued by: </w:t>
      </w:r>
    </w:p>
    <w:p w:rsidR="00802BE2" w:rsidRPr="00B0166C" w:rsidRDefault="00802BE2" w:rsidP="00120283">
      <w:pPr>
        <w:spacing w:after="0" w:line="240" w:lineRule="auto"/>
        <w:ind w:left="454" w:right="454"/>
        <w:jc w:val="both"/>
        <w:rPr>
          <w:rFonts w:ascii="Arial" w:hAnsi="Arial" w:cs="Arial"/>
          <w:color w:val="000000"/>
          <w:lang w:eastAsia="en-ZA"/>
        </w:rPr>
      </w:pPr>
      <w:r w:rsidRPr="00B0166C">
        <w:rPr>
          <w:rFonts w:ascii="Arial" w:hAnsi="Arial" w:cs="Arial"/>
          <w:color w:val="000000"/>
          <w:lang w:eastAsia="en-ZA"/>
        </w:rPr>
        <w:t xml:space="preserve">Chantelle Benjamin </w:t>
      </w:r>
    </w:p>
    <w:p w:rsidR="00802BE2" w:rsidRPr="00B0166C" w:rsidRDefault="00802BE2" w:rsidP="00120283">
      <w:pPr>
        <w:spacing w:after="0" w:line="240" w:lineRule="auto"/>
        <w:ind w:left="454" w:right="454"/>
        <w:jc w:val="both"/>
        <w:rPr>
          <w:rFonts w:ascii="Arial" w:hAnsi="Arial" w:cs="Arial"/>
          <w:color w:val="000000"/>
          <w:lang w:eastAsia="en-ZA"/>
        </w:rPr>
      </w:pPr>
      <w:r w:rsidRPr="00B0166C">
        <w:rPr>
          <w:rFonts w:ascii="Arial" w:hAnsi="Arial" w:cs="Arial"/>
          <w:color w:val="000000"/>
          <w:lang w:eastAsia="en-ZA"/>
        </w:rPr>
        <w:t>Communications: Competition Tribunal   </w:t>
      </w:r>
    </w:p>
    <w:p w:rsidR="00802BE2" w:rsidRPr="00B0166C" w:rsidRDefault="00802BE2" w:rsidP="00120283">
      <w:pPr>
        <w:spacing w:after="0" w:line="240" w:lineRule="auto"/>
        <w:ind w:left="454" w:right="454"/>
        <w:jc w:val="both"/>
        <w:rPr>
          <w:rFonts w:ascii="Arial" w:hAnsi="Arial" w:cs="Arial"/>
          <w:color w:val="000000"/>
          <w:lang w:eastAsia="en-ZA"/>
        </w:rPr>
      </w:pPr>
      <w:r w:rsidRPr="00B0166C">
        <w:rPr>
          <w:rFonts w:ascii="Arial" w:hAnsi="Arial" w:cs="Arial"/>
          <w:color w:val="000000"/>
          <w:lang w:eastAsia="en-ZA"/>
        </w:rPr>
        <w:t xml:space="preserve">Tel (012)394 1383                                      </w:t>
      </w:r>
    </w:p>
    <w:p w:rsidR="00802BE2" w:rsidRPr="00B0166C" w:rsidRDefault="00802BE2" w:rsidP="00120283">
      <w:pPr>
        <w:spacing w:after="0" w:line="240" w:lineRule="auto"/>
        <w:ind w:left="454" w:right="454"/>
        <w:jc w:val="both"/>
        <w:rPr>
          <w:rFonts w:ascii="Arial" w:hAnsi="Arial" w:cs="Arial"/>
          <w:color w:val="000000"/>
          <w:lang w:eastAsia="en-ZA"/>
        </w:rPr>
      </w:pPr>
      <w:r w:rsidRPr="00B0166C">
        <w:rPr>
          <w:rFonts w:ascii="Arial" w:hAnsi="Arial" w:cs="Arial"/>
          <w:color w:val="000000"/>
          <w:lang w:eastAsia="en-ZA"/>
        </w:rPr>
        <w:t>Cell: +27 (0) 73 007 5603  </w:t>
      </w:r>
    </w:p>
    <w:p w:rsidR="00802BE2" w:rsidRPr="00B0166C" w:rsidRDefault="00802BE2" w:rsidP="00120283">
      <w:pPr>
        <w:spacing w:after="0" w:line="240" w:lineRule="auto"/>
        <w:ind w:left="454" w:right="454"/>
        <w:jc w:val="both"/>
        <w:rPr>
          <w:rFonts w:ascii="Arial" w:hAnsi="Arial" w:cs="Arial"/>
          <w:lang w:eastAsia="en-ZA"/>
        </w:rPr>
      </w:pPr>
      <w:r w:rsidRPr="00B0166C">
        <w:rPr>
          <w:rFonts w:ascii="Arial" w:hAnsi="Arial" w:cs="Arial"/>
          <w:color w:val="000000"/>
          <w:lang w:eastAsia="en-ZA"/>
        </w:rPr>
        <w:t xml:space="preserve">Twitter: @comptrib                                        </w:t>
      </w:r>
    </w:p>
    <w:p w:rsidR="00802BE2" w:rsidRPr="00B0166C" w:rsidRDefault="00802BE2" w:rsidP="00120283">
      <w:pPr>
        <w:spacing w:after="0" w:line="240" w:lineRule="auto"/>
        <w:ind w:left="454" w:right="454"/>
        <w:jc w:val="both"/>
        <w:rPr>
          <w:rFonts w:ascii="Arial" w:hAnsi="Arial" w:cs="Arial"/>
        </w:rPr>
      </w:pPr>
      <w:r w:rsidRPr="00B0166C">
        <w:rPr>
          <w:rFonts w:ascii="Arial" w:hAnsi="Arial" w:cs="Arial"/>
          <w:color w:val="000000"/>
          <w:lang w:eastAsia="en-ZA"/>
        </w:rPr>
        <w:t xml:space="preserve">E-Mail: </w:t>
      </w:r>
      <w:hyperlink r:id="rId6" w:history="1">
        <w:r w:rsidRPr="00B0166C">
          <w:rPr>
            <w:rStyle w:val="Hyperlink"/>
            <w:rFonts w:ascii="Arial" w:hAnsi="Arial" w:cs="Arial"/>
            <w:lang w:eastAsia="en-ZA"/>
          </w:rPr>
          <w:t>chantelleb@comptrib.co.za</w:t>
        </w:r>
      </w:hyperlink>
      <w:r w:rsidRPr="00B0166C">
        <w:rPr>
          <w:rFonts w:ascii="Arial" w:hAnsi="Arial" w:cs="Arial"/>
        </w:rPr>
        <w:t xml:space="preserve"> </w:t>
      </w:r>
    </w:p>
    <w:p w:rsidR="00802BE2" w:rsidRPr="00B0166C" w:rsidRDefault="00802BE2" w:rsidP="00120283">
      <w:pPr>
        <w:spacing w:after="0" w:line="240" w:lineRule="auto"/>
        <w:ind w:left="454" w:right="454"/>
        <w:jc w:val="both"/>
        <w:rPr>
          <w:rFonts w:ascii="Arial" w:hAnsi="Arial" w:cs="Arial"/>
          <w:color w:val="000000"/>
        </w:rPr>
      </w:pPr>
    </w:p>
    <w:p w:rsidR="00802BE2" w:rsidRPr="00B0166C" w:rsidRDefault="00802BE2" w:rsidP="00120283">
      <w:pPr>
        <w:spacing w:after="0" w:line="240" w:lineRule="auto"/>
        <w:ind w:left="454" w:right="454"/>
        <w:jc w:val="both"/>
        <w:rPr>
          <w:rFonts w:ascii="Arial" w:hAnsi="Arial" w:cs="Arial"/>
          <w:color w:val="000000"/>
        </w:rPr>
      </w:pPr>
    </w:p>
    <w:p w:rsidR="00802BE2" w:rsidRPr="00B0166C" w:rsidRDefault="00802BE2" w:rsidP="00120283">
      <w:pPr>
        <w:spacing w:after="0" w:line="240" w:lineRule="auto"/>
        <w:ind w:left="454" w:right="454"/>
        <w:jc w:val="both"/>
        <w:rPr>
          <w:rFonts w:ascii="Arial" w:hAnsi="Arial" w:cs="Arial"/>
          <w:lang w:eastAsia="en-ZA"/>
        </w:rPr>
      </w:pPr>
      <w:r w:rsidRPr="00B0166C">
        <w:rPr>
          <w:rFonts w:ascii="Arial" w:hAnsi="Arial" w:cs="Arial"/>
          <w:color w:val="000000"/>
          <w:lang w:eastAsia="en-ZA"/>
        </w:rPr>
        <w:t>On Behalf Of:</w:t>
      </w:r>
    </w:p>
    <w:p w:rsidR="00802BE2" w:rsidRPr="00B0166C" w:rsidRDefault="00802BE2" w:rsidP="00120283">
      <w:pPr>
        <w:spacing w:after="0" w:line="240" w:lineRule="auto"/>
        <w:ind w:left="454" w:right="454"/>
        <w:jc w:val="both"/>
        <w:rPr>
          <w:rFonts w:ascii="Arial" w:hAnsi="Arial" w:cs="Arial"/>
          <w:lang w:eastAsia="en-ZA"/>
        </w:rPr>
      </w:pPr>
      <w:r w:rsidRPr="00B0166C">
        <w:rPr>
          <w:rFonts w:ascii="Arial" w:hAnsi="Arial" w:cs="Arial"/>
          <w:color w:val="000000"/>
          <w:lang w:eastAsia="en-ZA"/>
        </w:rPr>
        <w:t>Lerato Motaung                                                   </w:t>
      </w:r>
    </w:p>
    <w:p w:rsidR="00802BE2" w:rsidRPr="00B0166C" w:rsidRDefault="00802BE2" w:rsidP="00120283">
      <w:pPr>
        <w:spacing w:after="0" w:line="240" w:lineRule="auto"/>
        <w:ind w:left="454" w:right="454"/>
        <w:jc w:val="both"/>
        <w:rPr>
          <w:rFonts w:ascii="Arial" w:hAnsi="Arial" w:cs="Arial"/>
          <w:lang w:eastAsia="en-ZA"/>
        </w:rPr>
      </w:pPr>
      <w:r w:rsidRPr="00B0166C">
        <w:rPr>
          <w:rFonts w:ascii="Arial" w:hAnsi="Arial" w:cs="Arial"/>
          <w:color w:val="000000"/>
          <w:lang w:eastAsia="en-ZA"/>
        </w:rPr>
        <w:t xml:space="preserve">Registrar: Competition Tribunal                                         </w:t>
      </w:r>
    </w:p>
    <w:p w:rsidR="00802BE2" w:rsidRPr="00B0166C" w:rsidRDefault="00802BE2" w:rsidP="00120283">
      <w:pPr>
        <w:spacing w:after="0" w:line="240" w:lineRule="auto"/>
        <w:ind w:left="454" w:right="454"/>
        <w:jc w:val="both"/>
        <w:rPr>
          <w:rFonts w:ascii="Arial" w:hAnsi="Arial" w:cs="Arial"/>
          <w:lang w:eastAsia="en-ZA"/>
        </w:rPr>
      </w:pPr>
      <w:r w:rsidRPr="00B0166C">
        <w:rPr>
          <w:rFonts w:ascii="Arial" w:hAnsi="Arial" w:cs="Arial"/>
          <w:color w:val="000000"/>
          <w:lang w:eastAsia="en-ZA"/>
        </w:rPr>
        <w:t xml:space="preserve">Tel: (012) 394 3355                                              </w:t>
      </w:r>
    </w:p>
    <w:p w:rsidR="00802BE2" w:rsidRPr="00B0166C" w:rsidRDefault="00802BE2" w:rsidP="00120283">
      <w:pPr>
        <w:spacing w:after="0" w:line="240" w:lineRule="auto"/>
        <w:ind w:left="454" w:right="454"/>
        <w:jc w:val="both"/>
        <w:rPr>
          <w:rFonts w:ascii="Arial" w:hAnsi="Arial" w:cs="Arial"/>
          <w:lang w:eastAsia="en-ZA"/>
        </w:rPr>
      </w:pPr>
      <w:r w:rsidRPr="00B0166C">
        <w:rPr>
          <w:rFonts w:ascii="Arial" w:hAnsi="Arial" w:cs="Arial"/>
          <w:color w:val="000000"/>
          <w:lang w:eastAsia="en-ZA"/>
        </w:rPr>
        <w:t xml:space="preserve">Cell: +27 (0) 82 556 3221                                               </w:t>
      </w:r>
    </w:p>
    <w:p w:rsidR="00802BE2" w:rsidRPr="00B0166C" w:rsidRDefault="00802BE2" w:rsidP="00120283">
      <w:pPr>
        <w:spacing w:after="0" w:line="240" w:lineRule="auto"/>
        <w:ind w:left="454" w:right="454"/>
        <w:jc w:val="both"/>
        <w:rPr>
          <w:rFonts w:ascii="Arial" w:hAnsi="Arial" w:cs="Arial"/>
        </w:rPr>
      </w:pPr>
      <w:r w:rsidRPr="00B0166C">
        <w:rPr>
          <w:rFonts w:ascii="Arial" w:hAnsi="Arial" w:cs="Arial"/>
          <w:color w:val="000000"/>
          <w:lang w:eastAsia="en-ZA"/>
        </w:rPr>
        <w:t xml:space="preserve">E-Mail: </w:t>
      </w:r>
      <w:hyperlink r:id="rId7" w:history="1">
        <w:r w:rsidRPr="00B0166C">
          <w:rPr>
            <w:rStyle w:val="Hyperlink"/>
            <w:rFonts w:ascii="Arial" w:hAnsi="Arial" w:cs="Arial"/>
            <w:lang w:eastAsia="en-ZA"/>
          </w:rPr>
          <w:t>LeratoM@comptrib.co.za</w:t>
        </w:r>
      </w:hyperlink>
    </w:p>
    <w:p w:rsidR="003E6D12" w:rsidRDefault="008E0304"/>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A72D3"/>
    <w:multiLevelType w:val="hybridMultilevel"/>
    <w:tmpl w:val="331C30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D7410B3"/>
    <w:multiLevelType w:val="multilevel"/>
    <w:tmpl w:val="C5D2AB0A"/>
    <w:lvl w:ilvl="0">
      <w:start w:val="1"/>
      <w:numFmt w:val="decimal"/>
      <w:lvlText w:val="%1"/>
      <w:lvlJc w:val="left"/>
      <w:pPr>
        <w:ind w:left="360" w:hanging="360"/>
      </w:pPr>
      <w:rPr>
        <w:rFonts w:ascii="Arial" w:hAnsi="Arial" w:cs="Times New Roman" w:hint="default"/>
        <w:b/>
        <w:sz w:val="22"/>
      </w:rPr>
    </w:lvl>
    <w:lvl w:ilvl="1">
      <w:start w:val="1"/>
      <w:numFmt w:val="decimal"/>
      <w:lvlText w:val="%1.%2"/>
      <w:lvlJc w:val="left"/>
      <w:pPr>
        <w:ind w:left="360" w:hanging="36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abstractNum w:abstractNumId="2">
    <w:nsid w:val="4C5519C0"/>
    <w:multiLevelType w:val="hybridMultilevel"/>
    <w:tmpl w:val="C1D229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5BD71B79"/>
    <w:multiLevelType w:val="hybridMultilevel"/>
    <w:tmpl w:val="C4C2F17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72463F32"/>
    <w:multiLevelType w:val="hybridMultilevel"/>
    <w:tmpl w:val="6890C7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E2"/>
    <w:rsid w:val="00007200"/>
    <w:rsid w:val="000A0AF1"/>
    <w:rsid w:val="000B4C89"/>
    <w:rsid w:val="000F452E"/>
    <w:rsid w:val="00105EDC"/>
    <w:rsid w:val="00112C69"/>
    <w:rsid w:val="00120283"/>
    <w:rsid w:val="0013117E"/>
    <w:rsid w:val="00152E7A"/>
    <w:rsid w:val="00160336"/>
    <w:rsid w:val="001C28E2"/>
    <w:rsid w:val="00225618"/>
    <w:rsid w:val="002A5A09"/>
    <w:rsid w:val="0030708E"/>
    <w:rsid w:val="004665FC"/>
    <w:rsid w:val="004755EC"/>
    <w:rsid w:val="005B3C64"/>
    <w:rsid w:val="0060079D"/>
    <w:rsid w:val="00675BAB"/>
    <w:rsid w:val="00695AAA"/>
    <w:rsid w:val="006B5269"/>
    <w:rsid w:val="007876FB"/>
    <w:rsid w:val="007B1409"/>
    <w:rsid w:val="00802BE2"/>
    <w:rsid w:val="008B6260"/>
    <w:rsid w:val="00974A42"/>
    <w:rsid w:val="0097505D"/>
    <w:rsid w:val="009B1954"/>
    <w:rsid w:val="009E5A9F"/>
    <w:rsid w:val="00AE7B80"/>
    <w:rsid w:val="00B0166C"/>
    <w:rsid w:val="00C75B3E"/>
    <w:rsid w:val="00CB615A"/>
    <w:rsid w:val="00CD411C"/>
    <w:rsid w:val="00CF2E3D"/>
    <w:rsid w:val="00D52F0A"/>
    <w:rsid w:val="00D81ADA"/>
    <w:rsid w:val="00DD29D3"/>
    <w:rsid w:val="00DD52A9"/>
    <w:rsid w:val="00E47BFD"/>
    <w:rsid w:val="00F11C07"/>
    <w:rsid w:val="00F16C47"/>
    <w:rsid w:val="00F33220"/>
    <w:rsid w:val="00F7666F"/>
    <w:rsid w:val="00FA09EC"/>
    <w:rsid w:val="00FB3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E1AC5-15C0-4144-93D2-5D58E9BF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E2"/>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2BE2"/>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02BE2"/>
    <w:rPr>
      <w:color w:val="0000FF"/>
      <w:u w:val="single"/>
    </w:rPr>
  </w:style>
  <w:style w:type="character" w:customStyle="1" w:styleId="apple-converted-space">
    <w:name w:val="apple-converted-space"/>
    <w:basedOn w:val="DefaultParagraphFont"/>
    <w:rsid w:val="00802BE2"/>
  </w:style>
  <w:style w:type="character" w:styleId="Emphasis">
    <w:name w:val="Emphasis"/>
    <w:basedOn w:val="DefaultParagraphFont"/>
    <w:uiPriority w:val="20"/>
    <w:qFormat/>
    <w:rsid w:val="00802BE2"/>
    <w:rPr>
      <w:i/>
      <w:iCs/>
    </w:rPr>
  </w:style>
  <w:style w:type="paragraph" w:styleId="ListParagraph">
    <w:name w:val="List Paragraph"/>
    <w:aliases w:val="#Listenabsatz"/>
    <w:basedOn w:val="Normal"/>
    <w:link w:val="ListParagraphChar"/>
    <w:uiPriority w:val="34"/>
    <w:qFormat/>
    <w:rsid w:val="00F33220"/>
    <w:pPr>
      <w:spacing w:after="200" w:line="276" w:lineRule="auto"/>
      <w:ind w:left="720"/>
      <w:contextualSpacing/>
    </w:pPr>
  </w:style>
  <w:style w:type="character" w:customStyle="1" w:styleId="ListParagraphChar">
    <w:name w:val="List Paragraph Char"/>
    <w:aliases w:val="#Listenabsatz Char"/>
    <w:basedOn w:val="DefaultParagraphFont"/>
    <w:link w:val="ListParagraph"/>
    <w:uiPriority w:val="34"/>
    <w:locked/>
    <w:rsid w:val="00F16C47"/>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0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4</cp:revision>
  <dcterms:created xsi:type="dcterms:W3CDTF">2017-05-04T12:32:00Z</dcterms:created>
  <dcterms:modified xsi:type="dcterms:W3CDTF">2017-05-04T12:44:00Z</dcterms:modified>
</cp:coreProperties>
</file>