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0A" w:rsidRPr="00B0166C" w:rsidRDefault="00E67A0A" w:rsidP="00E67A0A">
      <w:pPr>
        <w:spacing w:after="0" w:line="240" w:lineRule="auto"/>
        <w:jc w:val="center"/>
        <w:rPr>
          <w:rFonts w:ascii="Arial" w:hAnsi="Arial" w:cs="Arial"/>
          <w:b/>
        </w:rPr>
      </w:pPr>
      <w:r w:rsidRPr="00B0166C">
        <w:rPr>
          <w:rFonts w:ascii="Arial" w:hAnsi="Arial" w:cs="Arial"/>
          <w:b/>
          <w:noProof/>
        </w:rPr>
        <w:drawing>
          <wp:inline distT="0" distB="0" distL="0" distR="0" wp14:anchorId="7F6AEFBE" wp14:editId="447C3692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A0A" w:rsidRPr="00B0166C" w:rsidRDefault="00E67A0A" w:rsidP="00E67A0A">
      <w:pPr>
        <w:spacing w:after="0" w:line="240" w:lineRule="auto"/>
        <w:jc w:val="center"/>
        <w:rPr>
          <w:rFonts w:ascii="Arial" w:hAnsi="Arial" w:cs="Arial"/>
          <w:b/>
        </w:rPr>
      </w:pPr>
    </w:p>
    <w:p w:rsidR="00E67A0A" w:rsidRPr="00B0166C" w:rsidRDefault="00E67A0A" w:rsidP="00E67A0A">
      <w:pPr>
        <w:spacing w:after="0" w:line="240" w:lineRule="auto"/>
        <w:jc w:val="center"/>
        <w:rPr>
          <w:rFonts w:ascii="Arial" w:hAnsi="Arial" w:cs="Arial"/>
          <w:b/>
        </w:rPr>
      </w:pPr>
    </w:p>
    <w:p w:rsidR="00E67A0A" w:rsidRPr="00B0166C" w:rsidRDefault="00E67A0A" w:rsidP="00E67A0A">
      <w:pPr>
        <w:spacing w:after="0" w:line="240" w:lineRule="auto"/>
        <w:jc w:val="center"/>
        <w:rPr>
          <w:rFonts w:ascii="Arial" w:hAnsi="Arial" w:cs="Arial"/>
          <w:b/>
        </w:rPr>
      </w:pPr>
    </w:p>
    <w:p w:rsidR="00E67A0A" w:rsidRPr="00B0166C" w:rsidRDefault="00875221" w:rsidP="00E67A0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OUTCOME THE CASE</w:t>
      </w:r>
      <w:r w:rsidR="00CA1AEC">
        <w:rPr>
          <w:rFonts w:ascii="Arial" w:hAnsi="Arial" w:cs="Arial"/>
          <w:b/>
        </w:rPr>
        <w:t xml:space="preserve"> FROM </w:t>
      </w:r>
      <w:r w:rsidR="00E67A0A" w:rsidRPr="00B0166C">
        <w:rPr>
          <w:rFonts w:ascii="Arial" w:hAnsi="Arial" w:cs="Arial"/>
          <w:b/>
        </w:rPr>
        <w:t>TRIBUNAL ROLL FOR WEDNESDAY</w:t>
      </w:r>
      <w:r w:rsidR="00E67A0A">
        <w:rPr>
          <w:rFonts w:ascii="Arial" w:hAnsi="Arial" w:cs="Arial"/>
          <w:b/>
        </w:rPr>
        <w:t>, 26 MARCH 2017</w:t>
      </w:r>
    </w:p>
    <w:p w:rsidR="00E67A0A" w:rsidRPr="00B0166C" w:rsidRDefault="00E67A0A" w:rsidP="00E67A0A">
      <w:pPr>
        <w:spacing w:after="0" w:line="240" w:lineRule="auto"/>
        <w:jc w:val="both"/>
        <w:rPr>
          <w:rFonts w:ascii="Arial" w:hAnsi="Arial" w:cs="Arial"/>
          <w:b/>
        </w:rPr>
      </w:pPr>
    </w:p>
    <w:p w:rsidR="00E67A0A" w:rsidRPr="00B0166C" w:rsidRDefault="00E67A0A" w:rsidP="00E67A0A">
      <w:pPr>
        <w:spacing w:after="0" w:line="240" w:lineRule="auto"/>
        <w:jc w:val="both"/>
        <w:rPr>
          <w:rFonts w:ascii="Arial" w:hAnsi="Arial" w:cs="Arial"/>
          <w:b/>
        </w:rPr>
      </w:pPr>
    </w:p>
    <w:p w:rsidR="00E67A0A" w:rsidRPr="00B0166C" w:rsidRDefault="00E67A0A" w:rsidP="00E67A0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350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2384"/>
        <w:gridCol w:w="2554"/>
        <w:gridCol w:w="2503"/>
        <w:gridCol w:w="1909"/>
      </w:tblGrid>
      <w:tr w:rsidR="00CA1AEC" w:rsidRPr="00B0166C" w:rsidTr="00CA1AEC">
        <w:trPr>
          <w:trHeight w:val="972"/>
        </w:trPr>
        <w:tc>
          <w:tcPr>
            <w:tcW w:w="2384" w:type="dxa"/>
            <w:shd w:val="clear" w:color="auto" w:fill="996633"/>
          </w:tcPr>
          <w:p w:rsidR="00CA1AEC" w:rsidRPr="00B0166C" w:rsidRDefault="00CA1AEC" w:rsidP="00E44EB0">
            <w:pPr>
              <w:rPr>
                <w:rFonts w:ascii="Arial" w:hAnsi="Arial" w:cs="Arial"/>
                <w:color w:val="FFFFFF" w:themeColor="background1"/>
              </w:rPr>
            </w:pPr>
            <w:r w:rsidRPr="00B0166C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2554" w:type="dxa"/>
            <w:shd w:val="clear" w:color="auto" w:fill="996633"/>
          </w:tcPr>
          <w:p w:rsidR="00CA1AEC" w:rsidRPr="00B0166C" w:rsidRDefault="00CA1AEC" w:rsidP="00E44EB0">
            <w:pPr>
              <w:rPr>
                <w:rFonts w:ascii="Arial" w:hAnsi="Arial" w:cs="Arial"/>
                <w:color w:val="FFFFFF" w:themeColor="background1"/>
              </w:rPr>
            </w:pPr>
            <w:r w:rsidRPr="00B0166C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503" w:type="dxa"/>
            <w:shd w:val="clear" w:color="auto" w:fill="996633"/>
          </w:tcPr>
          <w:p w:rsidR="00CA1AEC" w:rsidRPr="00B0166C" w:rsidRDefault="00CA1AEC" w:rsidP="00E44EB0">
            <w:pPr>
              <w:rPr>
                <w:rFonts w:ascii="Arial" w:hAnsi="Arial" w:cs="Arial"/>
                <w:color w:val="FFFFFF" w:themeColor="background1"/>
              </w:rPr>
            </w:pPr>
            <w:r w:rsidRPr="00B0166C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  <w:tc>
          <w:tcPr>
            <w:tcW w:w="1909" w:type="dxa"/>
            <w:shd w:val="clear" w:color="auto" w:fill="996633"/>
          </w:tcPr>
          <w:p w:rsidR="00CA1AEC" w:rsidRPr="00B0166C" w:rsidRDefault="00CA1AEC" w:rsidP="00E44EB0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Tribunal decision </w:t>
            </w:r>
          </w:p>
        </w:tc>
      </w:tr>
      <w:tr w:rsidR="00CA1AEC" w:rsidRPr="00B0166C" w:rsidTr="00CA1AEC">
        <w:trPr>
          <w:trHeight w:val="493"/>
        </w:trPr>
        <w:tc>
          <w:tcPr>
            <w:tcW w:w="2384" w:type="dxa"/>
          </w:tcPr>
          <w:p w:rsidR="00CA1AEC" w:rsidRPr="00B0166C" w:rsidRDefault="00CA1AEC" w:rsidP="00E44E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2554" w:type="dxa"/>
          </w:tcPr>
          <w:p w:rsidR="00CA1AEC" w:rsidRPr="00BA6FB1" w:rsidRDefault="00CA1AEC" w:rsidP="00E44EB0">
            <w:pPr>
              <w:jc w:val="both"/>
              <w:rPr>
                <w:rFonts w:ascii="Arial" w:hAnsi="Arial" w:cs="Arial"/>
              </w:rPr>
            </w:pPr>
            <w:r w:rsidRPr="00BA6FB1">
              <w:rPr>
                <w:rFonts w:ascii="Arial" w:hAnsi="Arial" w:cs="Arial"/>
                <w:color w:val="000000"/>
              </w:rPr>
              <w:t>TWK AGRI (Pty) Ltd And Bedrock Mining Support (Pty) Ltd</w:t>
            </w:r>
          </w:p>
        </w:tc>
        <w:tc>
          <w:tcPr>
            <w:tcW w:w="2503" w:type="dxa"/>
          </w:tcPr>
          <w:p w:rsidR="00CA1AEC" w:rsidRPr="00B0166C" w:rsidRDefault="00CA1AEC" w:rsidP="00E44E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 without conditions</w:t>
            </w:r>
          </w:p>
        </w:tc>
        <w:tc>
          <w:tcPr>
            <w:tcW w:w="1909" w:type="dxa"/>
          </w:tcPr>
          <w:p w:rsidR="00CA1AEC" w:rsidRDefault="00CA1AEC" w:rsidP="00E44E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Approval without conditions </w:t>
            </w:r>
          </w:p>
        </w:tc>
      </w:tr>
    </w:tbl>
    <w:p w:rsidR="00875221" w:rsidRDefault="00875221" w:rsidP="00E67A0A">
      <w:pPr>
        <w:autoSpaceDE w:val="0"/>
        <w:autoSpaceDN w:val="0"/>
        <w:spacing w:after="0" w:line="276" w:lineRule="auto"/>
        <w:jc w:val="both"/>
        <w:rPr>
          <w:rFonts w:ascii="Arial" w:hAnsi="Arial" w:cs="Arial"/>
          <w:b/>
        </w:rPr>
      </w:pPr>
    </w:p>
    <w:p w:rsidR="00E67A0A" w:rsidRPr="00E67A0A" w:rsidRDefault="004259C9" w:rsidP="00E67A0A">
      <w:pPr>
        <w:autoSpaceDE w:val="0"/>
        <w:autoSpaceDN w:val="0"/>
        <w:spacing w:after="0" w:line="276" w:lineRule="auto"/>
        <w:jc w:val="both"/>
        <w:rPr>
          <w:rFonts w:ascii="Arial" w:hAnsi="Arial" w:cs="Arial"/>
          <w:b/>
          <w:bCs/>
          <w:lang w:val="en-ZA"/>
        </w:rPr>
      </w:pPr>
      <w:r>
        <w:rPr>
          <w:rFonts w:ascii="Arial" w:hAnsi="Arial" w:cs="Arial"/>
          <w:b/>
          <w:bCs/>
          <w:lang w:val="en-ZA"/>
        </w:rPr>
        <w:t xml:space="preserve">TWK Agri merger with </w:t>
      </w:r>
      <w:proofErr w:type="spellStart"/>
      <w:r w:rsidR="00E67A0A" w:rsidRPr="00E67A0A">
        <w:rPr>
          <w:rFonts w:ascii="Arial" w:hAnsi="Arial" w:cs="Arial"/>
          <w:b/>
          <w:bCs/>
          <w:lang w:val="en-ZA"/>
        </w:rPr>
        <w:t>BedRock</w:t>
      </w:r>
      <w:proofErr w:type="spellEnd"/>
      <w:r w:rsidR="00E67A0A" w:rsidRPr="00E67A0A">
        <w:rPr>
          <w:rFonts w:ascii="Arial" w:hAnsi="Arial" w:cs="Arial"/>
          <w:b/>
          <w:bCs/>
          <w:lang w:val="en-ZA"/>
        </w:rPr>
        <w:t xml:space="preserve"> Mining Support </w:t>
      </w:r>
      <w:r w:rsidR="00CA1AEC">
        <w:rPr>
          <w:rFonts w:ascii="Arial" w:hAnsi="Arial" w:cs="Arial"/>
          <w:b/>
          <w:bCs/>
          <w:lang w:val="en-ZA"/>
        </w:rPr>
        <w:t>approved</w:t>
      </w:r>
    </w:p>
    <w:p w:rsidR="00E67A0A" w:rsidRDefault="00E67A0A" w:rsidP="00E67A0A">
      <w:pPr>
        <w:pStyle w:val="ListParagraph"/>
        <w:autoSpaceDE w:val="0"/>
        <w:autoSpaceDN w:val="0"/>
        <w:spacing w:after="0" w:line="276" w:lineRule="auto"/>
        <w:ind w:left="360"/>
        <w:jc w:val="both"/>
        <w:rPr>
          <w:rFonts w:ascii="Arial" w:hAnsi="Arial" w:cs="Arial"/>
          <w:lang w:val="en-GB"/>
        </w:rPr>
      </w:pPr>
    </w:p>
    <w:p w:rsidR="00E67A0A" w:rsidRDefault="00E67A0A" w:rsidP="004A73DA">
      <w:pPr>
        <w:autoSpaceDE w:val="0"/>
        <w:autoSpaceDN w:val="0"/>
        <w:spacing w:after="0" w:line="240" w:lineRule="auto"/>
        <w:jc w:val="both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 xml:space="preserve">Tribunal </w:t>
      </w:r>
      <w:r w:rsidR="00CA1AEC">
        <w:rPr>
          <w:rFonts w:ascii="Arial" w:hAnsi="Arial" w:cs="Arial"/>
          <w:lang w:val="en-ZA"/>
        </w:rPr>
        <w:t xml:space="preserve">has approved the large merger </w:t>
      </w:r>
      <w:r>
        <w:rPr>
          <w:rFonts w:ascii="Arial" w:hAnsi="Arial" w:cs="Arial"/>
          <w:lang w:val="en-ZA"/>
        </w:rPr>
        <w:t>without conditions</w:t>
      </w:r>
      <w:r w:rsidR="00CA1AEC">
        <w:rPr>
          <w:rFonts w:ascii="Arial" w:hAnsi="Arial" w:cs="Arial"/>
          <w:lang w:val="en-ZA"/>
        </w:rPr>
        <w:t xml:space="preserve"> of </w:t>
      </w:r>
      <w:r>
        <w:rPr>
          <w:rFonts w:ascii="Arial" w:hAnsi="Arial" w:cs="Arial"/>
          <w:lang w:val="en-GB"/>
        </w:rPr>
        <w:t>TWK Agri</w:t>
      </w:r>
      <w:r w:rsidR="00CA1AEC">
        <w:rPr>
          <w:rFonts w:ascii="Arial" w:hAnsi="Arial" w:cs="Arial"/>
          <w:lang w:val="en-GB"/>
        </w:rPr>
        <w:t xml:space="preserve"> and </w:t>
      </w:r>
      <w:proofErr w:type="spellStart"/>
      <w:r w:rsidR="004259C9">
        <w:rPr>
          <w:rFonts w:ascii="Arial" w:hAnsi="Arial" w:cs="Arial"/>
          <w:lang w:val="en-GB"/>
        </w:rPr>
        <w:t>BedRock</w:t>
      </w:r>
      <w:proofErr w:type="spellEnd"/>
      <w:r w:rsidR="004259C9">
        <w:rPr>
          <w:rFonts w:ascii="Arial" w:hAnsi="Arial" w:cs="Arial"/>
          <w:lang w:val="en-GB"/>
        </w:rPr>
        <w:t xml:space="preserve"> Mining Support.</w:t>
      </w:r>
      <w:r>
        <w:rPr>
          <w:rFonts w:ascii="Arial" w:hAnsi="Arial" w:cs="Arial"/>
          <w:lang w:val="en-GB"/>
        </w:rPr>
        <w:t xml:space="preserve"> </w:t>
      </w:r>
    </w:p>
    <w:p w:rsidR="00E67A0A" w:rsidRDefault="00E67A0A" w:rsidP="00E67A0A">
      <w:pPr>
        <w:pStyle w:val="ListParagraph"/>
        <w:autoSpaceDE w:val="0"/>
        <w:autoSpaceDN w:val="0"/>
        <w:spacing w:after="0" w:line="276" w:lineRule="auto"/>
        <w:ind w:left="360"/>
        <w:jc w:val="both"/>
        <w:rPr>
          <w:rFonts w:ascii="Arial" w:hAnsi="Arial" w:cs="Arial"/>
          <w:lang w:val="en-ZA"/>
        </w:rPr>
      </w:pPr>
    </w:p>
    <w:p w:rsidR="00E67A0A" w:rsidRDefault="00E67A0A" w:rsidP="00E67A0A">
      <w:pPr>
        <w:spacing w:after="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TWK Agri, its controlling firms and subsidiaries are referred to as the TWK Group. The TWK Group supplies agricultural and related services as well as input resources. </w:t>
      </w:r>
      <w:r w:rsidR="004259C9">
        <w:rPr>
          <w:rFonts w:ascii="Arial" w:hAnsi="Arial" w:cs="Arial"/>
          <w:lang w:val="en-GB"/>
        </w:rPr>
        <w:t xml:space="preserve">Related to the merger is </w:t>
      </w:r>
      <w:r>
        <w:rPr>
          <w:rFonts w:ascii="Arial" w:hAnsi="Arial" w:cs="Arial"/>
          <w:lang w:val="en-GB"/>
        </w:rPr>
        <w:t xml:space="preserve">TWK </w:t>
      </w:r>
      <w:proofErr w:type="spellStart"/>
      <w:r>
        <w:rPr>
          <w:rFonts w:ascii="Arial" w:hAnsi="Arial" w:cs="Arial"/>
          <w:lang w:val="en-GB"/>
        </w:rPr>
        <w:t>Agri’s</w:t>
      </w:r>
      <w:proofErr w:type="spellEnd"/>
      <w:r>
        <w:rPr>
          <w:rFonts w:ascii="Arial" w:hAnsi="Arial" w:cs="Arial"/>
          <w:lang w:val="en-GB"/>
        </w:rPr>
        <w:t xml:space="preserve"> </w:t>
      </w:r>
      <w:r w:rsidR="004259C9">
        <w:rPr>
          <w:rFonts w:ascii="Arial" w:hAnsi="Arial" w:cs="Arial"/>
          <w:lang w:val="en-GB"/>
        </w:rPr>
        <w:t xml:space="preserve">business activities relating to </w:t>
      </w:r>
      <w:r>
        <w:rPr>
          <w:rFonts w:ascii="Arial" w:hAnsi="Arial" w:cs="Arial"/>
          <w:lang w:val="en-GB"/>
        </w:rPr>
        <w:t>timber.</w:t>
      </w:r>
    </w:p>
    <w:p w:rsidR="00E67A0A" w:rsidRDefault="00E67A0A" w:rsidP="00E67A0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:rsidR="00E67A0A" w:rsidRDefault="00E67A0A" w:rsidP="00E67A0A">
      <w:pPr>
        <w:spacing w:after="0" w:line="276" w:lineRule="auto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BedRock</w:t>
      </w:r>
      <w:proofErr w:type="spellEnd"/>
      <w:r>
        <w:rPr>
          <w:rFonts w:ascii="Arial" w:hAnsi="Arial" w:cs="Arial"/>
          <w:lang w:val="en-GB"/>
        </w:rPr>
        <w:t xml:space="preserve"> is a mining support company which uses timber. It owns sawmills used to manufacture underground mine and stope support products and dunnage, which are sold to mines. </w:t>
      </w:r>
      <w:proofErr w:type="spellStart"/>
      <w:r>
        <w:rPr>
          <w:rFonts w:ascii="Arial" w:hAnsi="Arial" w:cs="Arial"/>
          <w:lang w:val="en-GB"/>
        </w:rPr>
        <w:t>BedRock</w:t>
      </w:r>
      <w:proofErr w:type="spellEnd"/>
      <w:r>
        <w:rPr>
          <w:rFonts w:ascii="Arial" w:hAnsi="Arial" w:cs="Arial"/>
          <w:lang w:val="en-GB"/>
        </w:rPr>
        <w:t xml:space="preserve"> uses all milled products internally as an input into its dunnage and timber-based mining support products</w:t>
      </w:r>
      <w:r w:rsidR="004259C9">
        <w:rPr>
          <w:rFonts w:ascii="Arial" w:hAnsi="Arial" w:cs="Arial"/>
          <w:lang w:val="en-GB"/>
        </w:rPr>
        <w:t xml:space="preserve"> which are sold to customers, generally the mines</w:t>
      </w:r>
      <w:r>
        <w:rPr>
          <w:rFonts w:ascii="Arial" w:hAnsi="Arial" w:cs="Arial"/>
          <w:lang w:val="en-GB"/>
        </w:rPr>
        <w:t xml:space="preserve">. </w:t>
      </w:r>
      <w:proofErr w:type="spellStart"/>
      <w:r w:rsidR="004259C9">
        <w:rPr>
          <w:rFonts w:ascii="Arial" w:hAnsi="Arial" w:cs="Arial"/>
          <w:lang w:val="en-GB"/>
        </w:rPr>
        <w:t>BedRock</w:t>
      </w:r>
      <w:proofErr w:type="spellEnd"/>
      <w:r w:rsidR="004259C9">
        <w:rPr>
          <w:rFonts w:ascii="Arial" w:hAnsi="Arial" w:cs="Arial"/>
          <w:lang w:val="en-GB"/>
        </w:rPr>
        <w:t xml:space="preserve"> owns three sawmills in Mpumalanga. </w:t>
      </w:r>
    </w:p>
    <w:p w:rsidR="00E67A0A" w:rsidRDefault="00E67A0A" w:rsidP="00E67A0A">
      <w:pPr>
        <w:pStyle w:val="ListParagraph"/>
        <w:autoSpaceDE w:val="0"/>
        <w:autoSpaceDN w:val="0"/>
        <w:spacing w:after="0" w:line="276" w:lineRule="auto"/>
        <w:ind w:left="360"/>
        <w:jc w:val="both"/>
        <w:rPr>
          <w:rFonts w:ascii="Arial" w:hAnsi="Arial" w:cs="Arial"/>
          <w:lang w:val="en-ZA"/>
        </w:rPr>
      </w:pPr>
    </w:p>
    <w:p w:rsidR="00E67A0A" w:rsidRPr="00B0166C" w:rsidRDefault="00E67A0A" w:rsidP="00E67A0A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Issued by: </w:t>
      </w:r>
    </w:p>
    <w:p w:rsidR="00E67A0A" w:rsidRPr="00B0166C" w:rsidRDefault="00E67A0A" w:rsidP="00E67A0A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E67A0A" w:rsidRPr="00B0166C" w:rsidRDefault="00E67A0A" w:rsidP="00E67A0A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>Communications: Competition Tribunal   </w:t>
      </w:r>
    </w:p>
    <w:p w:rsidR="00E67A0A" w:rsidRPr="00B0166C" w:rsidRDefault="00E67A0A" w:rsidP="00E67A0A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Tel (012)394 1383                                      </w:t>
      </w:r>
    </w:p>
    <w:p w:rsidR="00E67A0A" w:rsidRPr="00B0166C" w:rsidRDefault="00E67A0A" w:rsidP="00E67A0A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>Cell: +27 (0) 73 007 5603  </w:t>
      </w:r>
    </w:p>
    <w:p w:rsidR="00E67A0A" w:rsidRPr="00B0166C" w:rsidRDefault="00E67A0A" w:rsidP="00E67A0A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:rsidR="00E67A0A" w:rsidRPr="00B0166C" w:rsidRDefault="00E67A0A" w:rsidP="00E67A0A">
      <w:pPr>
        <w:spacing w:after="0" w:line="240" w:lineRule="auto"/>
        <w:jc w:val="both"/>
        <w:rPr>
          <w:rFonts w:ascii="Arial" w:hAnsi="Arial" w:cs="Arial"/>
        </w:rPr>
      </w:pPr>
      <w:r w:rsidRPr="00B0166C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B0166C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B0166C">
        <w:rPr>
          <w:rFonts w:ascii="Arial" w:hAnsi="Arial" w:cs="Arial"/>
        </w:rPr>
        <w:t xml:space="preserve"> </w:t>
      </w:r>
    </w:p>
    <w:p w:rsidR="00875221" w:rsidRDefault="00875221" w:rsidP="00E67A0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E67A0A" w:rsidRPr="00B0166C" w:rsidRDefault="00E67A0A" w:rsidP="00E67A0A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>On Behalf Of:</w:t>
      </w:r>
    </w:p>
    <w:p w:rsidR="00E67A0A" w:rsidRPr="00B0166C" w:rsidRDefault="00E67A0A" w:rsidP="00E67A0A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E67A0A" w:rsidRPr="00B0166C" w:rsidRDefault="00E67A0A" w:rsidP="00E67A0A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E67A0A" w:rsidRPr="00B0166C" w:rsidRDefault="00E67A0A" w:rsidP="00E67A0A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E67A0A" w:rsidRPr="00B0166C" w:rsidRDefault="00E67A0A" w:rsidP="00E67A0A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B0166C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E67A0A" w:rsidRPr="00B0166C" w:rsidRDefault="00E67A0A" w:rsidP="00E67A0A">
      <w:pPr>
        <w:spacing w:after="0" w:line="240" w:lineRule="auto"/>
        <w:jc w:val="both"/>
        <w:rPr>
          <w:rFonts w:ascii="Arial" w:hAnsi="Arial" w:cs="Arial"/>
        </w:rPr>
      </w:pPr>
      <w:r w:rsidRPr="00B0166C">
        <w:rPr>
          <w:rFonts w:ascii="Arial" w:hAnsi="Arial" w:cs="Arial"/>
          <w:color w:val="000000"/>
          <w:lang w:eastAsia="en-ZA"/>
        </w:rPr>
        <w:t xml:space="preserve">E-Mail: </w:t>
      </w:r>
      <w:hyperlink r:id="rId7" w:history="1">
        <w:r w:rsidRPr="00B0166C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E67A0A" w:rsidRDefault="00E67A0A" w:rsidP="00E67A0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:rsidR="00E67A0A" w:rsidRDefault="00E67A0A" w:rsidP="00E67A0A">
      <w:pPr>
        <w:spacing w:after="0" w:line="276" w:lineRule="auto"/>
        <w:jc w:val="both"/>
        <w:rPr>
          <w:rFonts w:ascii="Arial" w:hAnsi="Arial" w:cs="Arial"/>
          <w:lang w:val="en-GB"/>
        </w:rPr>
      </w:pPr>
    </w:p>
    <w:p w:rsidR="00E67A0A" w:rsidRDefault="00E67A0A" w:rsidP="00E67A0A">
      <w:pPr>
        <w:pStyle w:val="ListParagraph"/>
        <w:autoSpaceDE w:val="0"/>
        <w:autoSpaceDN w:val="0"/>
        <w:spacing w:after="0" w:line="276" w:lineRule="auto"/>
        <w:ind w:left="360"/>
        <w:jc w:val="both"/>
        <w:rPr>
          <w:rFonts w:ascii="Arial" w:hAnsi="Arial" w:cs="Arial"/>
          <w:lang w:val="en-ZA"/>
        </w:rPr>
      </w:pPr>
    </w:p>
    <w:p w:rsidR="00E67A0A" w:rsidRDefault="00E67A0A" w:rsidP="00E67A0A">
      <w:pPr>
        <w:pStyle w:val="ListParagraph"/>
        <w:autoSpaceDE w:val="0"/>
        <w:autoSpaceDN w:val="0"/>
        <w:spacing w:after="0" w:line="276" w:lineRule="auto"/>
        <w:ind w:left="360"/>
        <w:jc w:val="both"/>
        <w:rPr>
          <w:rFonts w:ascii="Arial" w:hAnsi="Arial" w:cs="Arial"/>
          <w:b/>
          <w:bCs/>
          <w:lang w:val="en-ZA"/>
        </w:rPr>
      </w:pPr>
    </w:p>
    <w:p w:rsidR="00E67A0A" w:rsidRDefault="00E67A0A"/>
    <w:sectPr w:rsidR="00E67A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410B3"/>
    <w:multiLevelType w:val="multilevel"/>
    <w:tmpl w:val="C5D2AB0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Times New Roman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Times New Roman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Times New Roman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Times New Roman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Times New Roman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Times New Roman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Times New Roman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Times New Roman" w:hint="default"/>
        <w:b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0A"/>
    <w:rsid w:val="001311A2"/>
    <w:rsid w:val="002A5A09"/>
    <w:rsid w:val="004259C9"/>
    <w:rsid w:val="004755EC"/>
    <w:rsid w:val="004A73DA"/>
    <w:rsid w:val="00875221"/>
    <w:rsid w:val="00BA6FB1"/>
    <w:rsid w:val="00C81C59"/>
    <w:rsid w:val="00CA1AEC"/>
    <w:rsid w:val="00E67A0A"/>
    <w:rsid w:val="00E8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943A69-C9E1-4BAD-9554-73353DC4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A0A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#Listenabsatz Char"/>
    <w:basedOn w:val="DefaultParagraphFont"/>
    <w:link w:val="ListParagraph"/>
    <w:uiPriority w:val="34"/>
    <w:locked/>
    <w:rsid w:val="00E67A0A"/>
  </w:style>
  <w:style w:type="paragraph" w:styleId="ListParagraph">
    <w:name w:val="List Paragraph"/>
    <w:aliases w:val="#Listenabsatz"/>
    <w:basedOn w:val="Normal"/>
    <w:link w:val="ListParagraphChar"/>
    <w:uiPriority w:val="34"/>
    <w:qFormat/>
    <w:rsid w:val="00E67A0A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E67A0A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7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atoM@comptrib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listairV\AppData\Local\Microsoft\Windows\Temporary%20Internet%20Files\Content.Outlook\HMBET88G\chantelleb@comptrib.co.z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3</cp:revision>
  <dcterms:created xsi:type="dcterms:W3CDTF">2017-04-26T11:03:00Z</dcterms:created>
  <dcterms:modified xsi:type="dcterms:W3CDTF">2017-04-26T11:16:00Z</dcterms:modified>
</cp:coreProperties>
</file>