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707" w:rsidRDefault="002C7707" w:rsidP="002C7707">
      <w:pPr>
        <w:spacing w:after="0" w:line="240" w:lineRule="auto"/>
        <w:jc w:val="center"/>
        <w:rPr>
          <w:rFonts w:ascii="Arial" w:hAnsi="Arial" w:cs="Arial"/>
          <w:lang w:val="en-ZA"/>
        </w:rPr>
      </w:pPr>
      <w:r w:rsidRPr="00B0166C">
        <w:rPr>
          <w:rFonts w:ascii="Arial" w:hAnsi="Arial" w:cs="Arial"/>
          <w:b/>
          <w:noProof/>
        </w:rPr>
        <w:drawing>
          <wp:inline distT="0" distB="0" distL="0" distR="0" wp14:anchorId="2FC82C13" wp14:editId="2D4FA8C0">
            <wp:extent cx="1083945" cy="7334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_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431" cy="73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707" w:rsidRDefault="002C7707" w:rsidP="002C7707">
      <w:pPr>
        <w:spacing w:after="0" w:line="240" w:lineRule="auto"/>
        <w:jc w:val="right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26 April, 2017</w:t>
      </w:r>
    </w:p>
    <w:p w:rsidR="002C7707" w:rsidRDefault="002C7707" w:rsidP="002C7707">
      <w:pPr>
        <w:spacing w:after="0" w:line="240" w:lineRule="auto"/>
        <w:rPr>
          <w:rFonts w:ascii="Arial" w:hAnsi="Arial" w:cs="Arial"/>
          <w:lang w:val="en-ZA"/>
        </w:rPr>
      </w:pPr>
    </w:p>
    <w:p w:rsidR="002C7707" w:rsidRPr="002C7707" w:rsidRDefault="002C7707" w:rsidP="002C7707">
      <w:pPr>
        <w:spacing w:after="0" w:line="240" w:lineRule="auto"/>
        <w:rPr>
          <w:rFonts w:ascii="Arial" w:hAnsi="Arial" w:cs="Arial"/>
          <w:b/>
          <w:lang w:val="en-ZA"/>
        </w:rPr>
      </w:pPr>
    </w:p>
    <w:p w:rsidR="002C7707" w:rsidRPr="002C7707" w:rsidRDefault="002C7707" w:rsidP="002C7707">
      <w:pPr>
        <w:spacing w:after="0" w:line="240" w:lineRule="auto"/>
        <w:rPr>
          <w:rFonts w:ascii="Arial" w:hAnsi="Arial" w:cs="Arial"/>
          <w:b/>
          <w:lang w:val="en-ZA"/>
        </w:rPr>
      </w:pPr>
      <w:r w:rsidRPr="002C7707">
        <w:rPr>
          <w:rFonts w:ascii="Arial" w:hAnsi="Arial" w:cs="Arial"/>
          <w:b/>
          <w:lang w:val="en-ZA"/>
        </w:rPr>
        <w:t xml:space="preserve">Competition Tribunal confirms Citibank N.A’s R69 500 980 settlement agreement </w:t>
      </w:r>
    </w:p>
    <w:p w:rsidR="002C7707" w:rsidRDefault="002C7707" w:rsidP="002C7707">
      <w:pPr>
        <w:spacing w:after="0" w:line="240" w:lineRule="auto"/>
        <w:rPr>
          <w:rFonts w:ascii="Arial" w:hAnsi="Arial" w:cs="Arial"/>
          <w:lang w:val="en-ZA"/>
        </w:rPr>
      </w:pPr>
    </w:p>
    <w:p w:rsidR="00FB7FD7" w:rsidRDefault="00FB7FD7" w:rsidP="00FB7FD7">
      <w:pPr>
        <w:spacing w:after="0" w:line="240" w:lineRule="auto"/>
        <w:jc w:val="both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The Competition Tribunal has confirmed Citibank N</w:t>
      </w:r>
      <w:r w:rsidR="002C7707">
        <w:rPr>
          <w:rFonts w:ascii="Arial" w:hAnsi="Arial" w:cs="Arial"/>
          <w:lang w:val="en-ZA"/>
        </w:rPr>
        <w:t>.</w:t>
      </w:r>
      <w:r>
        <w:rPr>
          <w:rFonts w:ascii="Arial" w:hAnsi="Arial" w:cs="Arial"/>
          <w:lang w:val="en-ZA"/>
        </w:rPr>
        <w:t>A’s settlement agreement of R69 500</w:t>
      </w:r>
      <w:r w:rsidR="00255972">
        <w:rPr>
          <w:rFonts w:ascii="Arial" w:hAnsi="Arial" w:cs="Arial"/>
          <w:lang w:val="en-ZA"/>
        </w:rPr>
        <w:t> </w:t>
      </w:r>
      <w:r>
        <w:rPr>
          <w:rFonts w:ascii="Arial" w:hAnsi="Arial" w:cs="Arial"/>
          <w:lang w:val="en-ZA"/>
        </w:rPr>
        <w:t>860</w:t>
      </w:r>
      <w:r w:rsidR="00255972">
        <w:rPr>
          <w:rFonts w:ascii="Arial" w:hAnsi="Arial" w:cs="Arial"/>
          <w:lang w:val="en-ZA"/>
        </w:rPr>
        <w:t>.00</w:t>
      </w:r>
      <w:r>
        <w:rPr>
          <w:rFonts w:ascii="Arial" w:hAnsi="Arial" w:cs="Arial"/>
          <w:lang w:val="en-ZA"/>
        </w:rPr>
        <w:t xml:space="preserve"> (Sixty Nine Million Five Hundred Thousand Eight Hundred and Sixty Rands) for its role in the forex cartel.</w:t>
      </w:r>
    </w:p>
    <w:p w:rsidR="00255972" w:rsidRDefault="00255972" w:rsidP="00FB7FD7">
      <w:pPr>
        <w:spacing w:after="0" w:line="240" w:lineRule="auto"/>
        <w:jc w:val="both"/>
        <w:rPr>
          <w:rFonts w:ascii="Arial" w:hAnsi="Arial" w:cs="Arial"/>
          <w:lang w:val="en-ZA"/>
        </w:rPr>
      </w:pPr>
    </w:p>
    <w:p w:rsidR="00255972" w:rsidRDefault="00255972" w:rsidP="00FB7FD7">
      <w:pPr>
        <w:spacing w:after="0" w:line="240" w:lineRule="auto"/>
        <w:jc w:val="both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 xml:space="preserve">The fine does not exceed 10% of Citibank’s annual turnover in South Africa. </w:t>
      </w:r>
    </w:p>
    <w:p w:rsidR="00FB7FD7" w:rsidRDefault="00FB7FD7" w:rsidP="00FB7FD7">
      <w:pPr>
        <w:spacing w:after="0" w:line="240" w:lineRule="auto"/>
        <w:jc w:val="both"/>
        <w:rPr>
          <w:rFonts w:ascii="Arial" w:hAnsi="Arial" w:cs="Arial"/>
          <w:lang w:val="en-ZA"/>
        </w:rPr>
      </w:pPr>
    </w:p>
    <w:p w:rsidR="00FB7FD7" w:rsidRDefault="00FB7FD7" w:rsidP="00FB7FD7">
      <w:pPr>
        <w:spacing w:after="0" w:line="240" w:lineRule="auto"/>
        <w:jc w:val="both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A decision regarding the settlement agreement was postponed after a hearing on 22 March, 2017</w:t>
      </w:r>
      <w:r w:rsidR="00255972">
        <w:rPr>
          <w:rFonts w:ascii="Arial" w:hAnsi="Arial" w:cs="Arial"/>
          <w:lang w:val="en-ZA"/>
        </w:rPr>
        <w:t xml:space="preserve"> as the Tribunal had</w:t>
      </w:r>
      <w:r>
        <w:rPr>
          <w:rFonts w:ascii="Arial" w:hAnsi="Arial" w:cs="Arial"/>
          <w:lang w:val="en-ZA"/>
        </w:rPr>
        <w:t xml:space="preserve"> asked for additional information from the </w:t>
      </w:r>
      <w:r w:rsidR="00255972">
        <w:rPr>
          <w:rFonts w:ascii="Arial" w:hAnsi="Arial" w:cs="Arial"/>
          <w:lang w:val="en-ZA"/>
        </w:rPr>
        <w:t xml:space="preserve">Competition </w:t>
      </w:r>
      <w:r>
        <w:rPr>
          <w:rFonts w:ascii="Arial" w:hAnsi="Arial" w:cs="Arial"/>
          <w:lang w:val="en-ZA"/>
        </w:rPr>
        <w:t xml:space="preserve">Commission regarding the percentage of Citibank’s turnover on which the fine is based. </w:t>
      </w:r>
    </w:p>
    <w:p w:rsidR="00FB7FD7" w:rsidRDefault="00FB7FD7" w:rsidP="00FB7FD7">
      <w:pPr>
        <w:spacing w:after="0" w:line="240" w:lineRule="auto"/>
        <w:jc w:val="both"/>
        <w:rPr>
          <w:rFonts w:ascii="Arial" w:hAnsi="Arial" w:cs="Arial"/>
          <w:lang w:val="en-ZA"/>
        </w:rPr>
      </w:pPr>
    </w:p>
    <w:p w:rsidR="00CF4F91" w:rsidRDefault="00255972" w:rsidP="00CF4F91">
      <w:pPr>
        <w:jc w:val="both"/>
        <w:rPr>
          <w:rFonts w:ascii="Arial" w:hAnsi="Arial" w:cs="Arial"/>
          <w:color w:val="000000"/>
          <w:lang w:val="en-ZA"/>
        </w:rPr>
      </w:pPr>
      <w:r>
        <w:rPr>
          <w:rFonts w:ascii="Arial" w:hAnsi="Arial" w:cs="Arial"/>
          <w:lang w:val="en-GB"/>
        </w:rPr>
        <w:t>Citibank admits that between September 2007 and October 2013</w:t>
      </w:r>
      <w:r w:rsidR="00CF4F91">
        <w:rPr>
          <w:rFonts w:ascii="Arial" w:hAnsi="Arial" w:cs="Arial"/>
          <w:lang w:val="en-GB"/>
        </w:rPr>
        <w:t>,</w:t>
      </w:r>
      <w:r>
        <w:rPr>
          <w:rFonts w:ascii="Arial" w:hAnsi="Arial" w:cs="Arial"/>
          <w:lang w:val="en-GB"/>
        </w:rPr>
        <w:t xml:space="preserve"> </w:t>
      </w:r>
      <w:r w:rsidR="00FB7FD7">
        <w:rPr>
          <w:rFonts w:ascii="Arial" w:hAnsi="Arial" w:cs="Arial"/>
          <w:lang w:val="en-GB"/>
        </w:rPr>
        <w:t>Citibank N.A. and its competitors manipulated the price of bids and offers through agreements to refrain from trading and creating fictitious bids and offers at particular times</w:t>
      </w:r>
      <w:r w:rsidR="00CF4F91">
        <w:rPr>
          <w:rFonts w:ascii="Arial" w:hAnsi="Arial" w:cs="Arial"/>
          <w:lang w:val="en-GB"/>
        </w:rPr>
        <w:t xml:space="preserve">, assisted each other by allowing a trader with a large open risk position to complete his </w:t>
      </w:r>
      <w:r w:rsidR="002C7707">
        <w:rPr>
          <w:rFonts w:ascii="Arial" w:hAnsi="Arial" w:cs="Arial"/>
          <w:lang w:val="en-GB"/>
        </w:rPr>
        <w:t>trades first before trading and</w:t>
      </w:r>
      <w:r w:rsidR="00CF4F91">
        <w:rPr>
          <w:rFonts w:ascii="Arial" w:hAnsi="Arial" w:cs="Arial"/>
          <w:color w:val="000000"/>
          <w:lang w:val="en-ZA"/>
        </w:rPr>
        <w:t xml:space="preserve"> through holding and/or pulling their trades to reserve liquidity for each other instead of trading normally in the market.</w:t>
      </w:r>
      <w:r w:rsidR="006523DA">
        <w:rPr>
          <w:rFonts w:ascii="Arial" w:hAnsi="Arial" w:cs="Arial"/>
          <w:color w:val="000000"/>
          <w:lang w:val="en-ZA"/>
        </w:rPr>
        <w:t xml:space="preserve"> Citibank additionally admitted to fixing bids, offers and bid-offer spreads in relation to spot trades on ZAR currency pairs through co-ordination/alignment of the bids, offers, and bid-offer spreads quoted to customers. </w:t>
      </w:r>
      <w:r w:rsidR="00CF4F91">
        <w:rPr>
          <w:rFonts w:ascii="Arial" w:hAnsi="Arial" w:cs="Arial"/>
          <w:color w:val="000000"/>
          <w:lang w:val="en-ZA"/>
        </w:rPr>
        <w:t xml:space="preserve"> </w:t>
      </w:r>
    </w:p>
    <w:p w:rsidR="00FB7FD7" w:rsidRDefault="00FB7FD7" w:rsidP="00FB7FD7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In terms of the settlement agreement Citibank N.A. will appear as a witness at their competitor’s hearings and, according to the Commission, Citibank has already begun supplying information that is helpful to the Commission’s investigation. </w:t>
      </w:r>
      <w:r w:rsidR="006523DA">
        <w:rPr>
          <w:rFonts w:ascii="Arial" w:hAnsi="Arial" w:cs="Arial"/>
          <w:lang w:val="en-GB"/>
        </w:rPr>
        <w:t>Citib</w:t>
      </w:r>
      <w:r w:rsidR="002C7707">
        <w:rPr>
          <w:rFonts w:ascii="Arial" w:hAnsi="Arial" w:cs="Arial"/>
          <w:lang w:val="en-GB"/>
        </w:rPr>
        <w:t>a</w:t>
      </w:r>
      <w:r w:rsidR="006523DA">
        <w:rPr>
          <w:rFonts w:ascii="Arial" w:hAnsi="Arial" w:cs="Arial"/>
          <w:lang w:val="en-GB"/>
        </w:rPr>
        <w:t>nk N.A additionally undertakes to not engage in any future conduct in contravention of the Competition Act 89 of 1999 and continue its existent implementation</w:t>
      </w:r>
      <w:r w:rsidR="00AC5B68">
        <w:rPr>
          <w:rFonts w:ascii="Arial" w:hAnsi="Arial" w:cs="Arial"/>
          <w:lang w:val="en-GB"/>
        </w:rPr>
        <w:t xml:space="preserve"> programmes. </w:t>
      </w:r>
      <w:r w:rsidR="006523DA">
        <w:rPr>
          <w:rFonts w:ascii="Arial" w:hAnsi="Arial" w:cs="Arial"/>
          <w:lang w:val="en-GB"/>
        </w:rPr>
        <w:t xml:space="preserve">  </w:t>
      </w:r>
    </w:p>
    <w:p w:rsidR="00FB7FD7" w:rsidRDefault="00FB7FD7" w:rsidP="00FB7FD7">
      <w:pPr>
        <w:jc w:val="both"/>
        <w:rPr>
          <w:rFonts w:ascii="Arial" w:hAnsi="Arial" w:cs="Arial"/>
          <w:color w:val="000000"/>
          <w:lang w:val="en-ZA"/>
        </w:rPr>
      </w:pPr>
      <w:r>
        <w:rPr>
          <w:rFonts w:ascii="Arial" w:hAnsi="Arial" w:cs="Arial"/>
          <w:lang w:val="en-GB"/>
        </w:rPr>
        <w:t>Citibank is the first of the banks</w:t>
      </w:r>
      <w:r w:rsidR="002C770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reach a settlement </w:t>
      </w:r>
      <w:r w:rsidR="002C7707">
        <w:rPr>
          <w:rFonts w:ascii="Arial" w:hAnsi="Arial" w:cs="Arial"/>
          <w:lang w:val="en-GB"/>
        </w:rPr>
        <w:t>agreement with</w:t>
      </w:r>
      <w:r>
        <w:rPr>
          <w:rFonts w:ascii="Arial" w:hAnsi="Arial" w:cs="Arial"/>
          <w:lang w:val="en-GB"/>
        </w:rPr>
        <w:t xml:space="preserve"> the Commission in the complaint the </w:t>
      </w:r>
      <w:r>
        <w:rPr>
          <w:rFonts w:ascii="Arial" w:hAnsi="Arial" w:cs="Arial"/>
          <w:color w:val="000000"/>
          <w:lang w:val="en-ZA"/>
        </w:rPr>
        <w:t xml:space="preserve">Competition Commission v Bank of America Merrill Lynch and Seventeen Others lodged with the Tribunal. </w:t>
      </w:r>
    </w:p>
    <w:p w:rsidR="00255972" w:rsidRPr="002C7707" w:rsidRDefault="00255972" w:rsidP="00FB7FD7">
      <w:pPr>
        <w:jc w:val="both"/>
        <w:rPr>
          <w:rFonts w:ascii="Arial" w:hAnsi="Arial" w:cs="Arial"/>
          <w:b/>
          <w:color w:val="000000"/>
          <w:lang w:val="en-ZA"/>
        </w:rPr>
      </w:pPr>
      <w:r w:rsidRPr="002C7707">
        <w:rPr>
          <w:rFonts w:ascii="Arial" w:hAnsi="Arial" w:cs="Arial"/>
          <w:b/>
          <w:color w:val="000000"/>
          <w:lang w:val="en-ZA"/>
        </w:rPr>
        <w:t>Background</w:t>
      </w:r>
    </w:p>
    <w:p w:rsidR="00255972" w:rsidRDefault="00255972" w:rsidP="00FB7FD7">
      <w:pPr>
        <w:jc w:val="both"/>
        <w:rPr>
          <w:rFonts w:ascii="Arial" w:hAnsi="Arial" w:cs="Arial"/>
          <w:color w:val="000000"/>
          <w:lang w:val="en-ZA"/>
        </w:rPr>
      </w:pPr>
      <w:r>
        <w:rPr>
          <w:rFonts w:ascii="Arial" w:hAnsi="Arial" w:cs="Arial"/>
          <w:color w:val="000000"/>
          <w:lang w:val="en-ZA"/>
        </w:rPr>
        <w:t>On 1 April</w:t>
      </w:r>
      <w:r w:rsidR="002C7707">
        <w:rPr>
          <w:rFonts w:ascii="Arial" w:hAnsi="Arial" w:cs="Arial"/>
          <w:color w:val="000000"/>
          <w:lang w:val="en-ZA"/>
        </w:rPr>
        <w:t>,</w:t>
      </w:r>
      <w:r>
        <w:rPr>
          <w:rFonts w:ascii="Arial" w:hAnsi="Arial" w:cs="Arial"/>
          <w:color w:val="000000"/>
          <w:lang w:val="en-ZA"/>
        </w:rPr>
        <w:t xml:space="preserve"> 2015 the Commissioner initiated a complaint against Barclays Bank Plc; Barclays Africa Group Ltd; BNP Paribas South Africa; Citigroup Inc; Citigroup</w:t>
      </w:r>
      <w:r w:rsidR="00CF4F91">
        <w:rPr>
          <w:rFonts w:ascii="Arial" w:hAnsi="Arial" w:cs="Arial"/>
          <w:color w:val="000000"/>
          <w:lang w:val="en-ZA"/>
        </w:rPr>
        <w:t xml:space="preserve"> Global Markets</w:t>
      </w:r>
      <w:r w:rsidR="002C7707">
        <w:rPr>
          <w:rFonts w:ascii="Arial" w:hAnsi="Arial" w:cs="Arial"/>
          <w:color w:val="000000"/>
          <w:lang w:val="en-ZA"/>
        </w:rPr>
        <w:t xml:space="preserve"> </w:t>
      </w:r>
      <w:r>
        <w:rPr>
          <w:rFonts w:ascii="Arial" w:hAnsi="Arial" w:cs="Arial"/>
          <w:color w:val="000000"/>
          <w:lang w:val="en-ZA"/>
        </w:rPr>
        <w:t xml:space="preserve">(Pty) Ltd; JP Morgan Chase and Co; and JP Morgan South Africa; Investec Ltd; Standard New York Securities Inc and Standard Chartered Bank for collusive conduct with regards to trading in foreign currency exchange involving the South African Rand. </w:t>
      </w:r>
    </w:p>
    <w:p w:rsidR="00255972" w:rsidRDefault="00255972" w:rsidP="00FB7FD7">
      <w:pPr>
        <w:jc w:val="both"/>
        <w:rPr>
          <w:rFonts w:ascii="Arial" w:hAnsi="Arial" w:cs="Arial"/>
          <w:color w:val="000000"/>
          <w:lang w:val="en-ZA"/>
        </w:rPr>
      </w:pPr>
      <w:r>
        <w:rPr>
          <w:rFonts w:ascii="Arial" w:hAnsi="Arial" w:cs="Arial"/>
          <w:color w:val="000000"/>
          <w:lang w:val="en-ZA"/>
        </w:rPr>
        <w:t xml:space="preserve">The allegations </w:t>
      </w:r>
      <w:r w:rsidR="00CF4F91">
        <w:rPr>
          <w:rFonts w:ascii="Arial" w:hAnsi="Arial" w:cs="Arial"/>
          <w:color w:val="000000"/>
          <w:lang w:val="en-ZA"/>
        </w:rPr>
        <w:t xml:space="preserve">against the respondents are that they entered into an agreement and/or exchanged in concerted practice to directly or indirectly fix prices in relation to bids, offers and bid-offer spreads in respect of spot trades, forward trades and futures trades though coordination/alignment of the bids, offers and bid-offers spreads that they quote to customers who buy and sell certain foreign currency pairs involving the Rand. </w:t>
      </w:r>
    </w:p>
    <w:p w:rsidR="00CF4F91" w:rsidRDefault="00CF4F91" w:rsidP="00FB7FD7">
      <w:pPr>
        <w:jc w:val="both"/>
        <w:rPr>
          <w:rFonts w:ascii="Arial" w:hAnsi="Arial" w:cs="Arial"/>
          <w:color w:val="000000"/>
          <w:lang w:val="en-ZA"/>
        </w:rPr>
      </w:pPr>
      <w:r>
        <w:rPr>
          <w:rFonts w:ascii="Arial" w:hAnsi="Arial" w:cs="Arial"/>
          <w:color w:val="000000"/>
          <w:lang w:val="en-ZA"/>
        </w:rPr>
        <w:t>On 23 August</w:t>
      </w:r>
      <w:r w:rsidR="002C7707">
        <w:rPr>
          <w:rFonts w:ascii="Arial" w:hAnsi="Arial" w:cs="Arial"/>
          <w:color w:val="000000"/>
          <w:lang w:val="en-ZA"/>
        </w:rPr>
        <w:t>,</w:t>
      </w:r>
      <w:r>
        <w:rPr>
          <w:rFonts w:ascii="Arial" w:hAnsi="Arial" w:cs="Arial"/>
          <w:color w:val="000000"/>
          <w:lang w:val="en-ZA"/>
        </w:rPr>
        <w:t xml:space="preserve"> 2016 the Commiss</w:t>
      </w:r>
      <w:r w:rsidR="006523DA">
        <w:rPr>
          <w:rFonts w:ascii="Arial" w:hAnsi="Arial" w:cs="Arial"/>
          <w:color w:val="000000"/>
          <w:lang w:val="en-ZA"/>
        </w:rPr>
        <w:t>ion</w:t>
      </w:r>
      <w:r>
        <w:rPr>
          <w:rFonts w:ascii="Arial" w:hAnsi="Arial" w:cs="Arial"/>
          <w:color w:val="000000"/>
          <w:lang w:val="en-ZA"/>
        </w:rPr>
        <w:t xml:space="preserve">er amended the complaint to include ABSA Bank Ltd; Barclays Capital Inc; Credit Suisse Group; Commerzbank AG; Bank of America Merrill Lynch International Ltd; HSBC Bank Plc, ANZ; Citibank N.A; JP Morgan; Nomura International Plc; Macquarie Group; and JP Morgan Chase Bank N.A as additional respondents and to include the conduct of dividing markets by allocating customers to the respondents. </w:t>
      </w:r>
    </w:p>
    <w:p w:rsidR="002C7707" w:rsidRPr="00B0166C" w:rsidRDefault="002C7707" w:rsidP="002C7707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B0166C">
        <w:rPr>
          <w:rFonts w:ascii="Arial" w:hAnsi="Arial" w:cs="Arial"/>
          <w:color w:val="000000"/>
          <w:lang w:eastAsia="en-ZA"/>
        </w:rPr>
        <w:t xml:space="preserve">Issued by: </w:t>
      </w:r>
    </w:p>
    <w:p w:rsidR="002C7707" w:rsidRPr="00B0166C" w:rsidRDefault="002C7707" w:rsidP="002C7707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B0166C">
        <w:rPr>
          <w:rFonts w:ascii="Arial" w:hAnsi="Arial" w:cs="Arial"/>
          <w:color w:val="000000"/>
          <w:lang w:eastAsia="en-ZA"/>
        </w:rPr>
        <w:t xml:space="preserve">Chantelle Benjamin </w:t>
      </w:r>
    </w:p>
    <w:p w:rsidR="002C7707" w:rsidRPr="00B0166C" w:rsidRDefault="002C7707" w:rsidP="002C7707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B0166C">
        <w:rPr>
          <w:rFonts w:ascii="Arial" w:hAnsi="Arial" w:cs="Arial"/>
          <w:color w:val="000000"/>
          <w:lang w:eastAsia="en-ZA"/>
        </w:rPr>
        <w:t>Communications: Competition Tribunal   </w:t>
      </w:r>
    </w:p>
    <w:p w:rsidR="002C7707" w:rsidRPr="00B0166C" w:rsidRDefault="002C7707" w:rsidP="002C7707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B0166C">
        <w:rPr>
          <w:rFonts w:ascii="Arial" w:hAnsi="Arial" w:cs="Arial"/>
          <w:color w:val="000000"/>
          <w:lang w:eastAsia="en-ZA"/>
        </w:rPr>
        <w:t xml:space="preserve">Tel (012)394 1383                                      </w:t>
      </w:r>
    </w:p>
    <w:p w:rsidR="002C7707" w:rsidRPr="00B0166C" w:rsidRDefault="002C7707" w:rsidP="002C7707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B0166C">
        <w:rPr>
          <w:rFonts w:ascii="Arial" w:hAnsi="Arial" w:cs="Arial"/>
          <w:color w:val="000000"/>
          <w:lang w:eastAsia="en-ZA"/>
        </w:rPr>
        <w:t>Cell: +27 (0) 73 007 5603  </w:t>
      </w:r>
    </w:p>
    <w:p w:rsidR="002C7707" w:rsidRPr="00B0166C" w:rsidRDefault="002C7707" w:rsidP="002C7707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B0166C">
        <w:rPr>
          <w:rFonts w:ascii="Arial" w:hAnsi="Arial" w:cs="Arial"/>
          <w:color w:val="000000"/>
          <w:lang w:eastAsia="en-ZA"/>
        </w:rPr>
        <w:t xml:space="preserve">Twitter: @comptrib                                        </w:t>
      </w:r>
    </w:p>
    <w:p w:rsidR="002C7707" w:rsidRPr="00B0166C" w:rsidRDefault="002C7707" w:rsidP="002C7707">
      <w:pPr>
        <w:spacing w:after="0" w:line="240" w:lineRule="auto"/>
        <w:jc w:val="both"/>
        <w:rPr>
          <w:rFonts w:ascii="Arial" w:hAnsi="Arial" w:cs="Arial"/>
        </w:rPr>
      </w:pPr>
      <w:r w:rsidRPr="00B0166C">
        <w:rPr>
          <w:rFonts w:ascii="Arial" w:hAnsi="Arial" w:cs="Arial"/>
          <w:color w:val="000000"/>
          <w:lang w:eastAsia="en-ZA"/>
        </w:rPr>
        <w:t xml:space="preserve">E-Mail: </w:t>
      </w:r>
      <w:hyperlink r:id="rId5" w:history="1">
        <w:r w:rsidRPr="00B0166C">
          <w:rPr>
            <w:rStyle w:val="Hyperlink"/>
            <w:rFonts w:ascii="Arial" w:hAnsi="Arial" w:cs="Arial"/>
            <w:lang w:eastAsia="en-ZA"/>
          </w:rPr>
          <w:t>chantelleb@comptrib.co.za</w:t>
        </w:r>
      </w:hyperlink>
      <w:r w:rsidRPr="00B0166C">
        <w:rPr>
          <w:rFonts w:ascii="Arial" w:hAnsi="Arial" w:cs="Arial"/>
        </w:rPr>
        <w:t xml:space="preserve"> </w:t>
      </w:r>
    </w:p>
    <w:p w:rsidR="002C7707" w:rsidRPr="00B0166C" w:rsidRDefault="002C7707" w:rsidP="002C7707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2C7707" w:rsidRPr="00B0166C" w:rsidRDefault="002C7707" w:rsidP="002C7707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2C7707" w:rsidRPr="00B0166C" w:rsidRDefault="002C7707" w:rsidP="002C7707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B0166C">
        <w:rPr>
          <w:rFonts w:ascii="Arial" w:hAnsi="Arial" w:cs="Arial"/>
          <w:color w:val="000000"/>
          <w:lang w:eastAsia="en-ZA"/>
        </w:rPr>
        <w:t>On Behalf Of:</w:t>
      </w:r>
    </w:p>
    <w:p w:rsidR="002C7707" w:rsidRPr="00B0166C" w:rsidRDefault="002C7707" w:rsidP="002C7707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B0166C">
        <w:rPr>
          <w:rFonts w:ascii="Arial" w:hAnsi="Arial" w:cs="Arial"/>
          <w:color w:val="000000"/>
          <w:lang w:eastAsia="en-ZA"/>
        </w:rPr>
        <w:t>Lerato Motaung                                                   </w:t>
      </w:r>
    </w:p>
    <w:p w:rsidR="002C7707" w:rsidRPr="00B0166C" w:rsidRDefault="002C7707" w:rsidP="002C7707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B0166C">
        <w:rPr>
          <w:rFonts w:ascii="Arial" w:hAnsi="Arial" w:cs="Arial"/>
          <w:color w:val="000000"/>
          <w:lang w:eastAsia="en-ZA"/>
        </w:rPr>
        <w:t xml:space="preserve">Registrar: Competition Tribunal                                         </w:t>
      </w:r>
    </w:p>
    <w:p w:rsidR="002C7707" w:rsidRPr="00B0166C" w:rsidRDefault="002C7707" w:rsidP="002C7707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B0166C">
        <w:rPr>
          <w:rFonts w:ascii="Arial" w:hAnsi="Arial" w:cs="Arial"/>
          <w:color w:val="000000"/>
          <w:lang w:eastAsia="en-ZA"/>
        </w:rPr>
        <w:t xml:space="preserve">Tel: (012) 394 3355                                              </w:t>
      </w:r>
    </w:p>
    <w:p w:rsidR="002C7707" w:rsidRPr="00B0166C" w:rsidRDefault="002C7707" w:rsidP="002C7707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B0166C">
        <w:rPr>
          <w:rFonts w:ascii="Arial" w:hAnsi="Arial" w:cs="Arial"/>
          <w:color w:val="000000"/>
          <w:lang w:eastAsia="en-ZA"/>
        </w:rPr>
        <w:t xml:space="preserve">Cell: +27 (0) 82 556 3221                                               </w:t>
      </w:r>
    </w:p>
    <w:p w:rsidR="002C7707" w:rsidRPr="00B0166C" w:rsidRDefault="002C7707" w:rsidP="002C7707">
      <w:pPr>
        <w:spacing w:after="0" w:line="240" w:lineRule="auto"/>
        <w:jc w:val="both"/>
        <w:rPr>
          <w:rFonts w:ascii="Arial" w:hAnsi="Arial" w:cs="Arial"/>
        </w:rPr>
      </w:pPr>
      <w:r w:rsidRPr="00B0166C">
        <w:rPr>
          <w:rFonts w:ascii="Arial" w:hAnsi="Arial" w:cs="Arial"/>
          <w:color w:val="000000"/>
          <w:lang w:eastAsia="en-ZA"/>
        </w:rPr>
        <w:t xml:space="preserve">E-Mail: </w:t>
      </w:r>
      <w:hyperlink r:id="rId6" w:history="1">
        <w:r w:rsidRPr="00B0166C">
          <w:rPr>
            <w:rStyle w:val="Hyperlink"/>
            <w:rFonts w:ascii="Arial" w:hAnsi="Arial" w:cs="Arial"/>
            <w:lang w:eastAsia="en-ZA"/>
          </w:rPr>
          <w:t>LeratoM@comptrib.co.za</w:t>
        </w:r>
      </w:hyperlink>
    </w:p>
    <w:p w:rsidR="003E6D12" w:rsidRPr="00FB7FD7" w:rsidRDefault="00934077" w:rsidP="00FB7FD7"/>
    <w:sectPr w:rsidR="003E6D12" w:rsidRPr="00FB7F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D7"/>
    <w:rsid w:val="00144D34"/>
    <w:rsid w:val="00255972"/>
    <w:rsid w:val="002A5A09"/>
    <w:rsid w:val="002C7707"/>
    <w:rsid w:val="004755EC"/>
    <w:rsid w:val="006523DA"/>
    <w:rsid w:val="00AC5B68"/>
    <w:rsid w:val="00C863AE"/>
    <w:rsid w:val="00CF4F91"/>
    <w:rsid w:val="00FB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FB0094"/>
  <w15:chartTrackingRefBased/>
  <w15:docId w15:val="{D742D347-C2CA-460B-973C-F641B54F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FD7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52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3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3DA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3DA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3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7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ratoM@comptrib.co.za" TargetMode="External"/><Relationship Id="rId5" Type="http://schemas.openxmlformats.org/officeDocument/2006/relationships/hyperlink" Target="file:///C:\Users\AlistairV\AppData\Local\Microsoft\Windows\Temporary%20Internet%20Files\Content.Outlook\HMBET88G\chantelleb@comptrib.co.za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Benjamin</dc:creator>
  <cp:keywords/>
  <dc:description/>
  <cp:lastModifiedBy>Chantelle Benjamin</cp:lastModifiedBy>
  <cp:revision>2</cp:revision>
  <dcterms:created xsi:type="dcterms:W3CDTF">2017-04-26T11:35:00Z</dcterms:created>
  <dcterms:modified xsi:type="dcterms:W3CDTF">2017-04-26T11:35:00Z</dcterms:modified>
</cp:coreProperties>
</file>