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4B" w:rsidRDefault="00467E90">
      <w:bookmarkStart w:id="0" w:name="_GoBack"/>
      <w:bookmarkEnd w:id="0"/>
      <w:r>
        <w:rPr>
          <w:noProof/>
          <w:lang w:eastAsia="en-ZA"/>
        </w:rPr>
        <w:drawing>
          <wp:anchor distT="0" distB="0" distL="114300" distR="114300" simplePos="0" relativeHeight="251660288" behindDoc="0" locked="0" layoutInCell="1" allowOverlap="1" wp14:editId="429CA626">
            <wp:simplePos x="0" y="0"/>
            <wp:positionH relativeFrom="margin">
              <wp:posOffset>2245766</wp:posOffset>
            </wp:positionH>
            <wp:positionV relativeFrom="paragraph">
              <wp:posOffset>7315</wp:posOffset>
            </wp:positionV>
            <wp:extent cx="1143000" cy="798195"/>
            <wp:effectExtent l="0" t="0" r="0" b="1905"/>
            <wp:wrapTight wrapText="bothSides">
              <wp:wrapPolygon edited="0">
                <wp:start x="0" y="0"/>
                <wp:lineTo x="0" y="21136"/>
                <wp:lineTo x="21240" y="21136"/>
                <wp:lineTo x="21240" y="0"/>
                <wp:lineTo x="0" y="0"/>
              </wp:wrapPolygon>
            </wp:wrapTight>
            <wp:docPr id="2" name="Picture 2" descr="..\CT Logo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\CT Logo 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0E7" w:rsidRDefault="000D70E7"/>
    <w:p w:rsidR="00B85BB2" w:rsidRDefault="00B85BB2">
      <w:pPr>
        <w:rPr>
          <w:b/>
        </w:rPr>
      </w:pPr>
    </w:p>
    <w:p w:rsidR="00467E90" w:rsidRDefault="00467E90">
      <w:pPr>
        <w:rPr>
          <w:b/>
        </w:rPr>
      </w:pPr>
    </w:p>
    <w:p w:rsidR="006A1488" w:rsidRDefault="00573D2E" w:rsidP="00467E90">
      <w:pPr>
        <w:jc w:val="right"/>
        <w:rPr>
          <w:b/>
        </w:rPr>
      </w:pPr>
      <w:r w:rsidRPr="0006764F">
        <w:rPr>
          <w:b/>
        </w:rPr>
        <w:t>Date Issued:</w:t>
      </w:r>
      <w:r w:rsidR="000D70E7" w:rsidRPr="0006764F">
        <w:rPr>
          <w:b/>
        </w:rPr>
        <w:tab/>
        <w:t>03/03/2017</w:t>
      </w:r>
    </w:p>
    <w:p w:rsidR="000D70E7" w:rsidRPr="0006764F" w:rsidRDefault="000D70E7" w:rsidP="00467E90">
      <w:pPr>
        <w:jc w:val="right"/>
        <w:rPr>
          <w:b/>
        </w:rPr>
      </w:pPr>
      <w:r w:rsidRPr="0006764F">
        <w:rPr>
          <w:b/>
        </w:rPr>
        <w:t xml:space="preserve"> </w:t>
      </w:r>
    </w:p>
    <w:p w:rsidR="006A1488" w:rsidRDefault="006A1488" w:rsidP="006A1488">
      <w:pPr>
        <w:spacing w:after="0"/>
        <w:jc w:val="both"/>
        <w:rPr>
          <w:b/>
        </w:rPr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E0B3E4" wp14:editId="77CC3399">
                <wp:simplePos x="0" y="0"/>
                <wp:positionH relativeFrom="column">
                  <wp:posOffset>14630</wp:posOffset>
                </wp:positionH>
                <wp:positionV relativeFrom="paragraph">
                  <wp:posOffset>49047</wp:posOffset>
                </wp:positionV>
                <wp:extent cx="5815584" cy="0"/>
                <wp:effectExtent l="0" t="0" r="3302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55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39024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3.85pt" to="459.0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0D70E7" w:rsidRPr="0006764F" w:rsidRDefault="000D70E7" w:rsidP="006A1488">
      <w:pPr>
        <w:spacing w:after="0"/>
        <w:jc w:val="center"/>
        <w:rPr>
          <w:b/>
        </w:rPr>
      </w:pPr>
      <w:r w:rsidRPr="0006764F">
        <w:rPr>
          <w:b/>
        </w:rPr>
        <w:t>Competition Tribunal Practice Note 1 of 2017</w:t>
      </w:r>
    </w:p>
    <w:p w:rsidR="00927FF0" w:rsidRDefault="006A1488" w:rsidP="002D75ED">
      <w:pPr>
        <w:jc w:val="both"/>
        <w:rPr>
          <w:b/>
        </w:rPr>
      </w:pPr>
      <w:r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D71A2E" wp14:editId="00E1CDF6">
                <wp:simplePos x="0" y="0"/>
                <wp:positionH relativeFrom="column">
                  <wp:posOffset>0</wp:posOffset>
                </wp:positionH>
                <wp:positionV relativeFrom="paragraph">
                  <wp:posOffset>53873</wp:posOffset>
                </wp:positionV>
                <wp:extent cx="5866790" cy="14631"/>
                <wp:effectExtent l="0" t="0" r="19685" b="2349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6790" cy="146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1203D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25pt" to="461.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:rsidR="006A1488" w:rsidRDefault="006A1488" w:rsidP="006A1488">
      <w:pPr>
        <w:spacing w:after="0"/>
        <w:jc w:val="both"/>
        <w:rPr>
          <w:b/>
        </w:rPr>
      </w:pPr>
    </w:p>
    <w:p w:rsidR="00573D2E" w:rsidRPr="006A1488" w:rsidRDefault="00146493" w:rsidP="006A1488">
      <w:pPr>
        <w:spacing w:after="0"/>
        <w:jc w:val="both"/>
        <w:rPr>
          <w:b/>
        </w:rPr>
      </w:pPr>
      <w:r w:rsidRPr="006A1488">
        <w:rPr>
          <w:b/>
        </w:rPr>
        <w:t xml:space="preserve">Managing </w:t>
      </w:r>
      <w:r w:rsidR="0006764F" w:rsidRPr="006A1488">
        <w:rPr>
          <w:b/>
        </w:rPr>
        <w:t>c</w:t>
      </w:r>
      <w:r w:rsidRPr="006A1488">
        <w:rPr>
          <w:b/>
        </w:rPr>
        <w:t xml:space="preserve">onfidential information </w:t>
      </w:r>
      <w:r w:rsidR="0006764F" w:rsidRPr="006A1488">
        <w:rPr>
          <w:b/>
        </w:rPr>
        <w:t>i</w:t>
      </w:r>
      <w:r w:rsidRPr="006A1488">
        <w:rPr>
          <w:b/>
        </w:rPr>
        <w:t>n Reasons issued by the Competition Tribunal</w:t>
      </w:r>
    </w:p>
    <w:p w:rsidR="00927FF0" w:rsidRDefault="00927FF0" w:rsidP="002D75ED">
      <w:pPr>
        <w:jc w:val="both"/>
        <w:rPr>
          <w:b/>
        </w:rPr>
      </w:pPr>
    </w:p>
    <w:p w:rsidR="00146493" w:rsidRPr="00146493" w:rsidRDefault="00146493" w:rsidP="002D75ED">
      <w:pPr>
        <w:jc w:val="both"/>
        <w:rPr>
          <w:b/>
        </w:rPr>
      </w:pPr>
      <w:r w:rsidRPr="00146493">
        <w:rPr>
          <w:b/>
        </w:rPr>
        <w:t>Background</w:t>
      </w:r>
    </w:p>
    <w:p w:rsidR="00175FB5" w:rsidRDefault="00193642" w:rsidP="004D2259">
      <w:pPr>
        <w:spacing w:after="0"/>
        <w:jc w:val="both"/>
      </w:pPr>
      <w:r>
        <w:t xml:space="preserve">Any person is entitled to inspect the </w:t>
      </w:r>
      <w:r w:rsidR="00331450">
        <w:t xml:space="preserve">Tribunal’s </w:t>
      </w:r>
      <w:r w:rsidR="002D75ED">
        <w:t>non-confidential case files.</w:t>
      </w:r>
      <w:r w:rsidR="00331450">
        <w:t xml:space="preserve"> Most people however do not exercise this right </w:t>
      </w:r>
      <w:r w:rsidR="00175FB5">
        <w:t>but</w:t>
      </w:r>
      <w:r w:rsidR="009C27B4">
        <w:t xml:space="preserve"> instead</w:t>
      </w:r>
      <w:r w:rsidR="00331450">
        <w:t xml:space="preserve"> are interested in reading the Tribunal’s reasons for deciding a particular case.</w:t>
      </w:r>
      <w:r w:rsidR="002D75ED">
        <w:t xml:space="preserve"> </w:t>
      </w:r>
      <w:r w:rsidR="0046622F">
        <w:t xml:space="preserve">Frequently in competition </w:t>
      </w:r>
      <w:r w:rsidR="00175FB5">
        <w:t>cases confidential information is furnished</w:t>
      </w:r>
      <w:r w:rsidR="0046622F">
        <w:t xml:space="preserve"> by firms</w:t>
      </w:r>
      <w:r w:rsidR="00175FB5">
        <w:t xml:space="preserve">. Firms are entitled to have this information protected but unfortunately parties </w:t>
      </w:r>
      <w:r w:rsidR="0046622F">
        <w:lastRenderedPageBreak/>
        <w:t>very often</w:t>
      </w:r>
      <w:r w:rsidR="00175FB5">
        <w:t xml:space="preserve"> make claims to protect information that is patently not confidential or make blanket claims </w:t>
      </w:r>
      <w:r w:rsidR="0046622F">
        <w:t>over whole documents when only certain portions may contain confidential information.</w:t>
      </w:r>
    </w:p>
    <w:p w:rsidR="00175FB5" w:rsidRDefault="00175FB5" w:rsidP="004D2259">
      <w:pPr>
        <w:spacing w:after="0"/>
        <w:jc w:val="both"/>
      </w:pPr>
    </w:p>
    <w:p w:rsidR="00146493" w:rsidRDefault="002D75ED" w:rsidP="004D2259">
      <w:pPr>
        <w:spacing w:after="0"/>
        <w:jc w:val="both"/>
      </w:pPr>
      <w:r>
        <w:t>In light of this the Tribunal</w:t>
      </w:r>
      <w:r w:rsidR="0046622F">
        <w:t>’s</w:t>
      </w:r>
      <w:r w:rsidR="00927FF0">
        <w:t xml:space="preserve"> panels</w:t>
      </w:r>
      <w:r>
        <w:t xml:space="preserve">, when drafting </w:t>
      </w:r>
      <w:r w:rsidR="00175FB5">
        <w:t>r</w:t>
      </w:r>
      <w:r w:rsidR="007C06E1">
        <w:t xml:space="preserve">easons for </w:t>
      </w:r>
      <w:r w:rsidR="00927FF0">
        <w:t>their</w:t>
      </w:r>
      <w:r w:rsidR="007C06E1">
        <w:t xml:space="preserve"> decisions</w:t>
      </w:r>
      <w:r w:rsidR="00AC25B9">
        <w:t>,</w:t>
      </w:r>
      <w:r>
        <w:t xml:space="preserve"> make an effort not to include information that is claimed confidential by the parties</w:t>
      </w:r>
      <w:r w:rsidR="00175FB5">
        <w:t xml:space="preserve"> unless it is necessary to do so to explain the decision</w:t>
      </w:r>
      <w:r>
        <w:t xml:space="preserve">. </w:t>
      </w:r>
      <w:r w:rsidR="00331450">
        <w:t xml:space="preserve"> </w:t>
      </w:r>
      <w:r w:rsidR="00175FB5">
        <w:t>In the latter instance</w:t>
      </w:r>
      <w:r w:rsidR="0046622F">
        <w:t>,</w:t>
      </w:r>
      <w:r w:rsidR="00175FB5">
        <w:t xml:space="preserve"> where the reasons include </w:t>
      </w:r>
      <w:r w:rsidR="00331450">
        <w:t xml:space="preserve">information </w:t>
      </w:r>
      <w:r w:rsidR="00175FB5">
        <w:t xml:space="preserve">that </w:t>
      </w:r>
      <w:r w:rsidR="00331450">
        <w:t>is</w:t>
      </w:r>
      <w:r w:rsidR="00AC25B9">
        <w:t>,</w:t>
      </w:r>
      <w:r w:rsidR="009C27B4">
        <w:t xml:space="preserve"> based on our experience</w:t>
      </w:r>
      <w:r w:rsidR="00AC25B9">
        <w:t>,</w:t>
      </w:r>
      <w:r w:rsidR="009C27B4">
        <w:t xml:space="preserve"> typically </w:t>
      </w:r>
      <w:r w:rsidR="00175FB5">
        <w:t xml:space="preserve">regarded as </w:t>
      </w:r>
      <w:r w:rsidR="00331450">
        <w:t>confidential</w:t>
      </w:r>
      <w:r w:rsidR="00175FB5">
        <w:t>,</w:t>
      </w:r>
      <w:r w:rsidR="00331450">
        <w:t xml:space="preserve"> we will make an effort to provide parties to the case</w:t>
      </w:r>
      <w:r w:rsidR="00175FB5">
        <w:t>,</w:t>
      </w:r>
      <w:r w:rsidR="00331450">
        <w:t xml:space="preserve"> with both a confidential and redacted version. Since, despite our best efforts, reasons or redacted versions</w:t>
      </w:r>
      <w:r w:rsidR="00175FB5">
        <w:t xml:space="preserve">, </w:t>
      </w:r>
      <w:r w:rsidR="00331450">
        <w:t>may</w:t>
      </w:r>
      <w:r w:rsidR="0046622F">
        <w:t>,</w:t>
      </w:r>
      <w:r w:rsidR="00331450">
        <w:t xml:space="preserve"> inadvertently</w:t>
      </w:r>
      <w:r w:rsidR="0046622F">
        <w:t>, still</w:t>
      </w:r>
      <w:r w:rsidR="00331450">
        <w:t xml:space="preserve"> include confidential information, we have adopted the following </w:t>
      </w:r>
      <w:r w:rsidR="0046622F">
        <w:t>practice</w:t>
      </w:r>
      <w:r w:rsidR="00331450">
        <w:t>. The p</w:t>
      </w:r>
      <w:r w:rsidR="0046622F">
        <w:t>ractice</w:t>
      </w:r>
      <w:r w:rsidR="00331450">
        <w:t xml:space="preserve"> is designed to balance a firm’s right to protect its confidential information with the public’s right </w:t>
      </w:r>
      <w:r w:rsidR="00175FB5">
        <w:t xml:space="preserve">of access to </w:t>
      </w:r>
      <w:r w:rsidR="00331450">
        <w:t>information</w:t>
      </w:r>
      <w:r w:rsidR="00175FB5">
        <w:t xml:space="preserve"> within a reasonable time.</w:t>
      </w:r>
      <w:r w:rsidR="00331450">
        <w:t xml:space="preserve"> </w:t>
      </w:r>
    </w:p>
    <w:p w:rsidR="00146493" w:rsidRDefault="00146493" w:rsidP="004D2259">
      <w:pPr>
        <w:spacing w:after="0"/>
        <w:jc w:val="both"/>
      </w:pPr>
    </w:p>
    <w:p w:rsidR="00146493" w:rsidRPr="0006764F" w:rsidRDefault="0006764F" w:rsidP="004D2259">
      <w:pPr>
        <w:spacing w:after="0"/>
        <w:jc w:val="both"/>
        <w:rPr>
          <w:b/>
        </w:rPr>
      </w:pPr>
      <w:r w:rsidRPr="0006764F">
        <w:rPr>
          <w:b/>
        </w:rPr>
        <w:t xml:space="preserve">Tribunal </w:t>
      </w:r>
      <w:r w:rsidR="0046622F">
        <w:rPr>
          <w:b/>
        </w:rPr>
        <w:t xml:space="preserve">practice </w:t>
      </w:r>
      <w:r w:rsidRPr="0006764F">
        <w:rPr>
          <w:b/>
        </w:rPr>
        <w:t xml:space="preserve"> </w:t>
      </w:r>
    </w:p>
    <w:p w:rsidR="00146493" w:rsidRDefault="00146493" w:rsidP="004D2259">
      <w:pPr>
        <w:spacing w:after="0"/>
        <w:jc w:val="both"/>
      </w:pPr>
    </w:p>
    <w:p w:rsidR="00FC0074" w:rsidRDefault="00B85BB2" w:rsidP="004D2259">
      <w:pPr>
        <w:spacing w:after="0"/>
        <w:jc w:val="both"/>
      </w:pPr>
      <w:r>
        <w:t xml:space="preserve">The Case Manager of the </w:t>
      </w:r>
      <w:r w:rsidR="004D2259">
        <w:t>Tribunal will</w:t>
      </w:r>
      <w:r w:rsidR="00146493">
        <w:t xml:space="preserve"> </w:t>
      </w:r>
      <w:r w:rsidR="004D2259">
        <w:t>email</w:t>
      </w:r>
      <w:r w:rsidR="00146493">
        <w:t xml:space="preserve"> </w:t>
      </w:r>
      <w:r w:rsidR="004D2259">
        <w:t xml:space="preserve">a copy of the signed </w:t>
      </w:r>
      <w:r w:rsidR="00175FB5">
        <w:t>r</w:t>
      </w:r>
      <w:r w:rsidR="004D2259">
        <w:t xml:space="preserve">easons </w:t>
      </w:r>
      <w:r w:rsidR="00146493">
        <w:t xml:space="preserve">to legal or other representatives of the parties </w:t>
      </w:r>
      <w:r w:rsidR="004D2259">
        <w:t xml:space="preserve">requesting them </w:t>
      </w:r>
      <w:r w:rsidR="00175FB5">
        <w:t xml:space="preserve">to </w:t>
      </w:r>
      <w:r w:rsidR="004D2259">
        <w:t>advise the Tribunal</w:t>
      </w:r>
      <w:r w:rsidR="00175FB5">
        <w:t>,</w:t>
      </w:r>
      <w:r w:rsidR="004D2259">
        <w:t xml:space="preserve"> whether the </w:t>
      </w:r>
      <w:r w:rsidR="00175FB5">
        <w:t>r</w:t>
      </w:r>
      <w:r w:rsidR="004D2259">
        <w:t xml:space="preserve">easons contain any confidential information that should be redacted. </w:t>
      </w:r>
      <w:r w:rsidR="000A4BEF">
        <w:t>During this period the reasons will not be available for public inspection in the records of the registry</w:t>
      </w:r>
      <w:r w:rsidR="00AC25B9">
        <w:t xml:space="preserve"> or on the Tribunal’s website</w:t>
      </w:r>
      <w:r w:rsidR="000A4BEF">
        <w:t>.</w:t>
      </w:r>
      <w:r w:rsidR="00FC0074">
        <w:t xml:space="preserve"> </w:t>
      </w:r>
      <w:r w:rsidR="004D2259">
        <w:t>If the Tribunal does not hear from the parties within five business days</w:t>
      </w:r>
      <w:r w:rsidR="009C27B4">
        <w:t xml:space="preserve"> of </w:t>
      </w:r>
      <w:r w:rsidR="009C27B4">
        <w:lastRenderedPageBreak/>
        <w:t>sending the reasons to them</w:t>
      </w:r>
      <w:r w:rsidR="0046622F">
        <w:t xml:space="preserve">, or receive a request for an extension, </w:t>
      </w:r>
      <w:r w:rsidR="004D2259">
        <w:t>it will</w:t>
      </w:r>
      <w:r w:rsidR="00175FB5">
        <w:t xml:space="preserve"> assume </w:t>
      </w:r>
      <w:r w:rsidR="004D2259">
        <w:t xml:space="preserve">the </w:t>
      </w:r>
      <w:r w:rsidR="00175FB5">
        <w:t>r</w:t>
      </w:r>
      <w:r w:rsidR="004D2259">
        <w:t>easons</w:t>
      </w:r>
      <w:r w:rsidR="00175FB5">
        <w:t xml:space="preserve"> do not contain </w:t>
      </w:r>
      <w:r w:rsidR="004D2259">
        <w:t>confidential</w:t>
      </w:r>
      <w:r w:rsidR="00175FB5">
        <w:t xml:space="preserve"> information</w:t>
      </w:r>
      <w:r w:rsidR="000A4BEF">
        <w:t>.</w:t>
      </w:r>
      <w:r w:rsidR="009C27B4">
        <w:t xml:space="preserve"> </w:t>
      </w:r>
      <w:r w:rsidR="000A4BEF">
        <w:t>T</w:t>
      </w:r>
      <w:r w:rsidR="009C27B4">
        <w:t>he reasons, in the form sent to the parties</w:t>
      </w:r>
      <w:r w:rsidR="000A4BEF">
        <w:rPr>
          <w:rStyle w:val="FootnoteReference"/>
        </w:rPr>
        <w:footnoteReference w:id="1"/>
      </w:r>
      <w:r w:rsidR="009C27B4">
        <w:t xml:space="preserve">, will </w:t>
      </w:r>
      <w:r w:rsidR="000A4BEF">
        <w:t xml:space="preserve">then </w:t>
      </w:r>
      <w:r w:rsidR="009C27B4">
        <w:t>be published on the website</w:t>
      </w:r>
      <w:r w:rsidR="000A4BEF">
        <w:t xml:space="preserve"> and be made available for inspection in the registry.</w:t>
      </w:r>
      <w:r w:rsidR="009C27B4">
        <w:t xml:space="preserve"> If</w:t>
      </w:r>
      <w:r w:rsidR="00AC25B9">
        <w:t>,</w:t>
      </w:r>
      <w:r w:rsidR="009C27B4">
        <w:t xml:space="preserve"> after consulting the parties</w:t>
      </w:r>
      <w:r w:rsidR="00AC25B9">
        <w:t>,</w:t>
      </w:r>
      <w:r w:rsidR="009C27B4">
        <w:t xml:space="preserve"> the reasons require redactions, only the redacted version will be published on the website</w:t>
      </w:r>
      <w:r w:rsidR="00AC25B9">
        <w:t xml:space="preserve"> and</w:t>
      </w:r>
      <w:r w:rsidR="009C27B4">
        <w:t xml:space="preserve"> will be available for public inspection in the registry.</w:t>
      </w:r>
    </w:p>
    <w:p w:rsidR="004D2259" w:rsidRDefault="004D2259" w:rsidP="004D2259">
      <w:pPr>
        <w:spacing w:after="0"/>
        <w:jc w:val="both"/>
      </w:pPr>
    </w:p>
    <w:p w:rsidR="000D70E7" w:rsidRDefault="00573D2E" w:rsidP="002D75ED">
      <w:pPr>
        <w:jc w:val="both"/>
      </w:pPr>
      <w:r>
        <w:t xml:space="preserve">This practice note applies to all </w:t>
      </w:r>
      <w:r w:rsidR="007C06E1">
        <w:t>r</w:t>
      </w:r>
      <w:r>
        <w:t xml:space="preserve">easons issued by the Competition Tribunal and will commence on the date </w:t>
      </w:r>
      <w:r w:rsidR="002D75ED">
        <w:t xml:space="preserve">that this notice is </w:t>
      </w:r>
      <w:r>
        <w:t xml:space="preserve">issued. </w:t>
      </w:r>
    </w:p>
    <w:p w:rsidR="00B85BB2" w:rsidRDefault="00B85BB2" w:rsidP="002D75ED">
      <w:pPr>
        <w:jc w:val="both"/>
      </w:pPr>
    </w:p>
    <w:p w:rsidR="00467E90" w:rsidRDefault="00467E90" w:rsidP="002D75ED">
      <w:pPr>
        <w:jc w:val="both"/>
      </w:pPr>
    </w:p>
    <w:p w:rsidR="00B85BB2" w:rsidRPr="006A1488" w:rsidRDefault="00B85BB2" w:rsidP="00B85BB2">
      <w:pPr>
        <w:spacing w:after="0"/>
        <w:jc w:val="both"/>
        <w:rPr>
          <w:b/>
        </w:rPr>
      </w:pPr>
      <w:r w:rsidRPr="006A1488">
        <w:rPr>
          <w:b/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E616A" wp14:editId="09B7522A">
                <wp:simplePos x="0" y="0"/>
                <wp:positionH relativeFrom="column">
                  <wp:posOffset>7315</wp:posOffset>
                </wp:positionH>
                <wp:positionV relativeFrom="paragraph">
                  <wp:posOffset>129489</wp:posOffset>
                </wp:positionV>
                <wp:extent cx="1046074" cy="0"/>
                <wp:effectExtent l="0" t="0" r="2095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607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F5C48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2pt" to="82.9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B85BB2" w:rsidRDefault="00B85BB2" w:rsidP="002D75ED">
      <w:pPr>
        <w:jc w:val="both"/>
      </w:pPr>
      <w:r>
        <w:t>N</w:t>
      </w:r>
      <w:r w:rsidR="0046622F">
        <w:t>orman</w:t>
      </w:r>
      <w:r>
        <w:t xml:space="preserve"> Manoim</w:t>
      </w:r>
    </w:p>
    <w:p w:rsidR="00B85BB2" w:rsidRDefault="00B85BB2" w:rsidP="002D75ED">
      <w:pPr>
        <w:jc w:val="both"/>
      </w:pPr>
      <w:r>
        <w:t>Chairperson of the Competition Tribunal</w:t>
      </w:r>
    </w:p>
    <w:p w:rsidR="00B85BB2" w:rsidRDefault="00B85BB2" w:rsidP="002D75ED">
      <w:pPr>
        <w:jc w:val="both"/>
      </w:pPr>
      <w:r>
        <w:t xml:space="preserve">Date: 3 March 2017 </w:t>
      </w:r>
    </w:p>
    <w:p w:rsidR="00573D2E" w:rsidRDefault="00573D2E" w:rsidP="002D75ED">
      <w:pPr>
        <w:jc w:val="both"/>
      </w:pPr>
    </w:p>
    <w:sectPr w:rsidR="00573D2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78F" w:rsidRDefault="0071378F" w:rsidP="000A4BEF">
      <w:pPr>
        <w:spacing w:after="0" w:line="240" w:lineRule="auto"/>
      </w:pPr>
      <w:r>
        <w:separator/>
      </w:r>
    </w:p>
  </w:endnote>
  <w:endnote w:type="continuationSeparator" w:id="0">
    <w:p w:rsidR="0071378F" w:rsidRDefault="0071378F" w:rsidP="000A4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5363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0CA9" w:rsidRDefault="001D0C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98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0CA9" w:rsidRDefault="001D0C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78F" w:rsidRDefault="0071378F" w:rsidP="000A4BEF">
      <w:pPr>
        <w:spacing w:after="0" w:line="240" w:lineRule="auto"/>
      </w:pPr>
      <w:r>
        <w:separator/>
      </w:r>
    </w:p>
  </w:footnote>
  <w:footnote w:type="continuationSeparator" w:id="0">
    <w:p w:rsidR="0071378F" w:rsidRDefault="0071378F" w:rsidP="000A4BEF">
      <w:pPr>
        <w:spacing w:after="0" w:line="240" w:lineRule="auto"/>
      </w:pPr>
      <w:r>
        <w:continuationSeparator/>
      </w:r>
    </w:p>
  </w:footnote>
  <w:footnote w:id="1">
    <w:p w:rsidR="000A4BEF" w:rsidRDefault="000A4BEF">
      <w:pPr>
        <w:pStyle w:val="FootnoteText"/>
      </w:pPr>
      <w:r>
        <w:rPr>
          <w:rStyle w:val="FootnoteReference"/>
        </w:rPr>
        <w:footnoteRef/>
      </w:r>
      <w:r>
        <w:t xml:space="preserve"> i.e. in the case of reasons the Tribunal has already redacted this means the redacted version.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0E7"/>
    <w:rsid w:val="0006764F"/>
    <w:rsid w:val="000A4BEF"/>
    <w:rsid w:val="000D70E7"/>
    <w:rsid w:val="001008C3"/>
    <w:rsid w:val="00146493"/>
    <w:rsid w:val="001523CE"/>
    <w:rsid w:val="00175FB5"/>
    <w:rsid w:val="00193642"/>
    <w:rsid w:val="001D0CA9"/>
    <w:rsid w:val="00214B22"/>
    <w:rsid w:val="002D75ED"/>
    <w:rsid w:val="002E2BBF"/>
    <w:rsid w:val="00331450"/>
    <w:rsid w:val="0046622F"/>
    <w:rsid w:val="00467E90"/>
    <w:rsid w:val="004D2259"/>
    <w:rsid w:val="00573D2E"/>
    <w:rsid w:val="006A1488"/>
    <w:rsid w:val="006B25B1"/>
    <w:rsid w:val="0071378F"/>
    <w:rsid w:val="007C06E1"/>
    <w:rsid w:val="008F7DE2"/>
    <w:rsid w:val="00901981"/>
    <w:rsid w:val="00927FF0"/>
    <w:rsid w:val="009C27B4"/>
    <w:rsid w:val="00AC25B9"/>
    <w:rsid w:val="00AE271A"/>
    <w:rsid w:val="00B45564"/>
    <w:rsid w:val="00B51B4B"/>
    <w:rsid w:val="00B85BB2"/>
    <w:rsid w:val="00C3735E"/>
    <w:rsid w:val="00C60614"/>
    <w:rsid w:val="00D45270"/>
    <w:rsid w:val="00FC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41302A-6C77-4AF8-AC36-1198B9D3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06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06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06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06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06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6E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A4B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A4B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A4BE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D0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CA9"/>
  </w:style>
  <w:style w:type="paragraph" w:styleId="Footer">
    <w:name w:val="footer"/>
    <w:basedOn w:val="Normal"/>
    <w:link w:val="FooterChar"/>
    <w:uiPriority w:val="99"/>
    <w:unhideWhenUsed/>
    <w:rsid w:val="001D0C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21330-93C7-4959-862D-14A385EC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Rietsie Badenhorst</dc:creator>
  <cp:keywords/>
  <dc:description/>
  <cp:lastModifiedBy>Hlumelo Vazi</cp:lastModifiedBy>
  <cp:revision>2</cp:revision>
  <dcterms:created xsi:type="dcterms:W3CDTF">2018-03-20T06:24:00Z</dcterms:created>
  <dcterms:modified xsi:type="dcterms:W3CDTF">2018-03-20T06:24:00Z</dcterms:modified>
</cp:coreProperties>
</file>