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49" w:rsidRDefault="00F56049" w:rsidP="00F56049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E41BF5">
        <w:rPr>
          <w:rFonts w:ascii="Arial" w:hAnsi="Arial" w:cs="Arial"/>
          <w:noProof/>
        </w:rPr>
        <w:drawing>
          <wp:inline distT="0" distB="0" distL="0" distR="0" wp14:anchorId="509AD907" wp14:editId="5F84BE9A">
            <wp:extent cx="1781175" cy="1166150"/>
            <wp:effectExtent l="0" t="0" r="0" b="0"/>
            <wp:docPr id="1" name="Picture 1" descr="Compe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e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541" cy="117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049" w:rsidRDefault="00F56049" w:rsidP="00F5604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56049" w:rsidRDefault="00F56049" w:rsidP="00F5604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56049" w:rsidRDefault="00F56049" w:rsidP="00F5604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56049" w:rsidRDefault="00F56049" w:rsidP="00F56049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F56049" w:rsidRPr="005555CD" w:rsidRDefault="00F56049" w:rsidP="00F56049">
      <w:pPr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F56049" w:rsidRDefault="001434E2" w:rsidP="00F56049">
      <w:pPr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OUTCOME OF TRIBUNAL HEARINGS,</w:t>
      </w:r>
      <w:r w:rsidR="00F56049" w:rsidRPr="005555C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WEDNESDAY 28 OCTOBER 2015</w:t>
      </w:r>
    </w:p>
    <w:p w:rsidR="00F56049" w:rsidRPr="005555CD" w:rsidRDefault="00F56049" w:rsidP="00F56049">
      <w:pPr>
        <w:rPr>
          <w:rFonts w:ascii="Arial" w:eastAsia="Times New Roman" w:hAnsi="Arial" w:cs="Arial"/>
          <w:b/>
          <w:color w:val="000000"/>
        </w:rPr>
      </w:pPr>
    </w:p>
    <w:p w:rsidR="00F56049" w:rsidRDefault="00F56049" w:rsidP="00F56049">
      <w:pPr>
        <w:spacing w:after="240"/>
        <w:rPr>
          <w:rFonts w:ascii="Tahoma" w:eastAsia="Times New Roman" w:hAnsi="Tahoma" w:cs="Tahoma"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3126"/>
        <w:gridCol w:w="2808"/>
      </w:tblGrid>
      <w:tr w:rsidR="00F56049" w:rsidTr="00036ACA">
        <w:tc>
          <w:tcPr>
            <w:tcW w:w="3082" w:type="dxa"/>
            <w:tcBorders>
              <w:top w:val="single" w:sz="8" w:space="0" w:color="996633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  <w:color w:val="FFFFFF"/>
                <w:lang w:val="en-ZA"/>
              </w:rPr>
              <w:t>Type of matter</w:t>
            </w:r>
          </w:p>
        </w:tc>
        <w:tc>
          <w:tcPr>
            <w:tcW w:w="3126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spacing w:before="100" w:beforeAutospacing="1"/>
            </w:pPr>
            <w:r>
              <w:rPr>
                <w:rFonts w:ascii="Arial" w:hAnsi="Arial" w:cs="Arial"/>
                <w:color w:val="FFFFFF"/>
                <w:lang w:val="en-ZA"/>
              </w:rPr>
              <w:t>Parties involved</w:t>
            </w:r>
          </w:p>
        </w:tc>
        <w:tc>
          <w:tcPr>
            <w:tcW w:w="2808" w:type="dxa"/>
            <w:tcBorders>
              <w:top w:val="single" w:sz="8" w:space="0" w:color="996633"/>
              <w:left w:val="nil"/>
              <w:bottom w:val="single" w:sz="8" w:space="0" w:color="996633"/>
              <w:right w:val="single" w:sz="8" w:space="0" w:color="996633"/>
            </w:tcBorders>
            <w:shd w:val="clear" w:color="auto" w:fill="9966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spacing w:before="100" w:beforeAutospacing="1"/>
            </w:pPr>
            <w:r>
              <w:rPr>
                <w:rFonts w:ascii="Arial" w:hAnsi="Arial" w:cs="Arial"/>
                <w:color w:val="FFFFFF"/>
                <w:lang w:val="en-ZA"/>
              </w:rPr>
              <w:t>Competition Commission’s recommendation to Tribunal</w:t>
            </w:r>
          </w:p>
        </w:tc>
      </w:tr>
      <w:tr w:rsidR="00F56049" w:rsidTr="00036ACA">
        <w:tc>
          <w:tcPr>
            <w:tcW w:w="3082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>Large Merger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 xml:space="preserve">VAPS Holdings (Pty) Ltd (NEWCO) and </w:t>
            </w:r>
            <w:proofErr w:type="spellStart"/>
            <w:r w:rsidRPr="005555CD">
              <w:rPr>
                <w:rFonts w:ascii="Arial" w:hAnsi="Arial" w:cs="Arial"/>
              </w:rPr>
              <w:t>Motorite</w:t>
            </w:r>
            <w:proofErr w:type="spellEnd"/>
            <w:r w:rsidRPr="005555CD">
              <w:rPr>
                <w:rFonts w:ascii="Arial" w:hAnsi="Arial" w:cs="Arial"/>
              </w:rPr>
              <w:t xml:space="preserve"> Administrators (Pty) Ltd and Engine Room (Pty) Ltd and Small Area Repair Technology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spacing w:before="100" w:beforeAutospacing="1"/>
              <w:jc w:val="both"/>
            </w:pPr>
            <w:r>
              <w:rPr>
                <w:rFonts w:ascii="Arial" w:hAnsi="Arial" w:cs="Arial"/>
              </w:rPr>
              <w:t xml:space="preserve">Merger be approved with conditions </w:t>
            </w:r>
          </w:p>
        </w:tc>
      </w:tr>
      <w:tr w:rsidR="00F56049" w:rsidTr="00036ACA">
        <w:tc>
          <w:tcPr>
            <w:tcW w:w="3082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>Large Merger 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 xml:space="preserve">Kilimanjaro </w:t>
            </w:r>
            <w:proofErr w:type="spellStart"/>
            <w:r w:rsidRPr="005555CD">
              <w:rPr>
                <w:rFonts w:ascii="Arial" w:hAnsi="Arial" w:cs="Arial"/>
              </w:rPr>
              <w:t>Sakhumnotho</w:t>
            </w:r>
            <w:proofErr w:type="spellEnd"/>
            <w:r w:rsidRPr="005555CD">
              <w:rPr>
                <w:rFonts w:ascii="Arial" w:hAnsi="Arial" w:cs="Arial"/>
              </w:rPr>
              <w:t xml:space="preserve"> Consortium (Pty) Ltd and Main Street 87 (Pty) Ltd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spacing w:before="100" w:beforeAutospacing="1"/>
              <w:jc w:val="both"/>
            </w:pPr>
            <w:r>
              <w:rPr>
                <w:rFonts w:ascii="Arial" w:hAnsi="Arial" w:cs="Arial"/>
              </w:rPr>
              <w:t xml:space="preserve">Merger be approved </w:t>
            </w:r>
          </w:p>
        </w:tc>
      </w:tr>
      <w:tr w:rsidR="00F56049" w:rsidTr="00036ACA">
        <w:tc>
          <w:tcPr>
            <w:tcW w:w="3082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  <w:lang w:val="en-ZA"/>
              </w:rPr>
              <w:t>Large merger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 xml:space="preserve">Delta Property Fund Ltd and </w:t>
            </w:r>
            <w:proofErr w:type="spellStart"/>
            <w:r w:rsidRPr="005555CD">
              <w:rPr>
                <w:rFonts w:ascii="Arial" w:hAnsi="Arial" w:cs="Arial"/>
              </w:rPr>
              <w:t>Orthotouch</w:t>
            </w:r>
            <w:proofErr w:type="spellEnd"/>
            <w:r w:rsidRPr="005555CD">
              <w:rPr>
                <w:rFonts w:ascii="Arial" w:hAnsi="Arial" w:cs="Arial"/>
              </w:rPr>
              <w:t xml:space="preserve"> Ltd, In Respect of Fifteen Target Properties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spacing w:before="100" w:beforeAutospacing="1"/>
              <w:jc w:val="both"/>
            </w:pPr>
            <w:r>
              <w:rPr>
                <w:rFonts w:ascii="Arial" w:hAnsi="Arial" w:cs="Arial"/>
              </w:rPr>
              <w:t xml:space="preserve">Merger be approved </w:t>
            </w:r>
          </w:p>
        </w:tc>
      </w:tr>
      <w:tr w:rsidR="00F56049" w:rsidTr="00036ACA">
        <w:tc>
          <w:tcPr>
            <w:tcW w:w="3082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>Large merger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Pr="005555CD" w:rsidRDefault="00F56049" w:rsidP="00036ACA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5555CD">
              <w:rPr>
                <w:rFonts w:ascii="Arial" w:hAnsi="Arial" w:cs="Arial"/>
              </w:rPr>
              <w:t>G and C Shelf 115 (Pty) Ltd And The Sydney Road Property in Durban (Owned by Redefine Properties</w:t>
            </w:r>
            <w:r w:rsidR="00BF6C5F">
              <w:rPr>
                <w:rFonts w:ascii="Arial" w:hAnsi="Arial" w:cs="Arial"/>
              </w:rPr>
              <w:t>)</w:t>
            </w:r>
            <w:r w:rsidRPr="005555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spacing w:before="100" w:beforeAutospacing="1"/>
              <w:jc w:val="both"/>
            </w:pPr>
            <w:r>
              <w:rPr>
                <w:rFonts w:ascii="Arial" w:hAnsi="Arial" w:cs="Arial"/>
              </w:rPr>
              <w:t xml:space="preserve">Merger be approved </w:t>
            </w:r>
          </w:p>
        </w:tc>
      </w:tr>
      <w:tr w:rsidR="00F56049" w:rsidTr="00036ACA">
        <w:tc>
          <w:tcPr>
            <w:tcW w:w="3082" w:type="dxa"/>
            <w:tcBorders>
              <w:top w:val="nil"/>
              <w:left w:val="single" w:sz="8" w:space="0" w:color="996633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/>
        </w:tc>
        <w:tc>
          <w:tcPr>
            <w:tcW w:w="3126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996633"/>
              <w:right w:val="single" w:sz="8" w:space="0" w:color="9966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049" w:rsidRDefault="00F56049" w:rsidP="00036A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56049" w:rsidRDefault="00F56049" w:rsidP="00F56049"/>
    <w:p w:rsidR="00F56049" w:rsidRDefault="00F56049" w:rsidP="00F56049">
      <w:pPr>
        <w:rPr>
          <w:rFonts w:ascii="Arial" w:hAnsi="Arial" w:cs="Arial"/>
        </w:rPr>
      </w:pPr>
    </w:p>
    <w:p w:rsidR="00F56049" w:rsidRDefault="00F56049" w:rsidP="00F56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merger of </w:t>
      </w:r>
      <w:r w:rsidRPr="005555CD">
        <w:rPr>
          <w:rFonts w:ascii="Arial" w:hAnsi="Arial" w:cs="Arial"/>
        </w:rPr>
        <w:t xml:space="preserve">Kilimanjaro </w:t>
      </w:r>
      <w:proofErr w:type="spellStart"/>
      <w:r w:rsidRPr="005555CD">
        <w:rPr>
          <w:rFonts w:ascii="Arial" w:hAnsi="Arial" w:cs="Arial"/>
        </w:rPr>
        <w:t>Sakhumnotho</w:t>
      </w:r>
      <w:proofErr w:type="spellEnd"/>
      <w:r w:rsidRPr="005555CD">
        <w:rPr>
          <w:rFonts w:ascii="Arial" w:hAnsi="Arial" w:cs="Arial"/>
        </w:rPr>
        <w:t xml:space="preserve"> Consortium</w:t>
      </w:r>
      <w:r>
        <w:rPr>
          <w:rFonts w:ascii="Arial" w:hAnsi="Arial" w:cs="Arial"/>
        </w:rPr>
        <w:t xml:space="preserve"> and </w:t>
      </w:r>
      <w:r w:rsidRPr="005555CD">
        <w:rPr>
          <w:rFonts w:ascii="Arial" w:hAnsi="Arial" w:cs="Arial"/>
        </w:rPr>
        <w:t xml:space="preserve">Main Street 87 </w:t>
      </w:r>
      <w:r w:rsidR="001434E2">
        <w:rPr>
          <w:rFonts w:ascii="Arial" w:hAnsi="Arial" w:cs="Arial"/>
        </w:rPr>
        <w:t xml:space="preserve">has been approved by the Competition Tribunal. </w:t>
      </w:r>
      <w:r>
        <w:rPr>
          <w:rFonts w:ascii="Arial" w:hAnsi="Arial" w:cs="Arial"/>
        </w:rPr>
        <w:t xml:space="preserve">Main Street’s sole activity is to hold shares for Total South Africa, a subsidiary of Total International Group, while </w:t>
      </w:r>
      <w:proofErr w:type="spellStart"/>
      <w:r w:rsidRPr="005555CD">
        <w:rPr>
          <w:rFonts w:ascii="Arial" w:hAnsi="Arial" w:cs="Arial"/>
        </w:rPr>
        <w:t>Sakhumnotho</w:t>
      </w:r>
      <w:proofErr w:type="spellEnd"/>
      <w:r w:rsidRPr="005555CD">
        <w:rPr>
          <w:rFonts w:ascii="Arial" w:hAnsi="Arial" w:cs="Arial"/>
        </w:rPr>
        <w:t xml:space="preserve"> Consortium</w:t>
      </w:r>
      <w:r w:rsidR="001434E2">
        <w:rPr>
          <w:rFonts w:ascii="Arial" w:hAnsi="Arial" w:cs="Arial"/>
        </w:rPr>
        <w:t xml:space="preserve"> no longer has interests in the gas and oil sector. </w:t>
      </w:r>
      <w:r>
        <w:rPr>
          <w:rFonts w:ascii="Arial" w:hAnsi="Arial" w:cs="Arial"/>
        </w:rPr>
        <w:t xml:space="preserve"> </w:t>
      </w:r>
    </w:p>
    <w:p w:rsidR="00BF6C5F" w:rsidRDefault="00BF6C5F" w:rsidP="00F56049">
      <w:pPr>
        <w:rPr>
          <w:rFonts w:ascii="Arial" w:hAnsi="Arial" w:cs="Arial"/>
        </w:rPr>
      </w:pPr>
    </w:p>
    <w:p w:rsidR="00F56049" w:rsidRDefault="001434E2" w:rsidP="00F560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merger of </w:t>
      </w:r>
      <w:r w:rsidR="00F56049">
        <w:rPr>
          <w:rFonts w:ascii="Arial" w:hAnsi="Arial" w:cs="Arial"/>
        </w:rPr>
        <w:t>Delta Property Fund and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Orthotouch</w:t>
      </w:r>
      <w:proofErr w:type="spellEnd"/>
      <w:r>
        <w:rPr>
          <w:rFonts w:ascii="Arial" w:hAnsi="Arial" w:cs="Arial"/>
        </w:rPr>
        <w:t xml:space="preserve">, which </w:t>
      </w:r>
      <w:r w:rsidR="00F56049">
        <w:rPr>
          <w:rFonts w:ascii="Arial" w:hAnsi="Arial" w:cs="Arial"/>
        </w:rPr>
        <w:t>involves 15 properties in Bloemfontein, Nelspruit, Welkom and Kroonstad</w:t>
      </w:r>
      <w:r>
        <w:rPr>
          <w:rFonts w:ascii="Arial" w:hAnsi="Arial" w:cs="Arial"/>
        </w:rPr>
        <w:t xml:space="preserve"> has been approved by the Competition Tribunal without conditions. </w:t>
      </w:r>
    </w:p>
    <w:p w:rsidR="001434E2" w:rsidRDefault="001434E2" w:rsidP="00F56049">
      <w:pPr>
        <w:rPr>
          <w:rFonts w:ascii="Arial" w:hAnsi="Arial" w:cs="Arial"/>
        </w:rPr>
      </w:pPr>
    </w:p>
    <w:p w:rsidR="00F56049" w:rsidRDefault="001434E2" w:rsidP="00F56049">
      <w:pPr>
        <w:rPr>
          <w:rFonts w:ascii="Arial" w:hAnsi="Arial" w:cs="Arial"/>
        </w:rPr>
      </w:pPr>
      <w:r>
        <w:rPr>
          <w:rFonts w:ascii="Arial" w:hAnsi="Arial" w:cs="Arial"/>
        </w:rPr>
        <w:t>The Competition Tribunal has</w:t>
      </w:r>
      <w:r w:rsidR="00F56049">
        <w:rPr>
          <w:rFonts w:ascii="Arial" w:hAnsi="Arial" w:cs="Arial"/>
        </w:rPr>
        <w:t xml:space="preserve"> recommended that the merger of G and C Shelf 115, ultimately owned by Premier Group, and the</w:t>
      </w:r>
      <w:r w:rsidR="00F56049" w:rsidRPr="005555CD">
        <w:rPr>
          <w:rFonts w:ascii="Arial" w:hAnsi="Arial" w:cs="Arial"/>
        </w:rPr>
        <w:t xml:space="preserve"> </w:t>
      </w:r>
      <w:r w:rsidR="00F56049">
        <w:rPr>
          <w:rFonts w:ascii="Arial" w:hAnsi="Arial" w:cs="Arial"/>
        </w:rPr>
        <w:t>Sydney Road Property in Durban be approved</w:t>
      </w:r>
      <w:r w:rsidR="00BF6C5F">
        <w:rPr>
          <w:rFonts w:ascii="Arial" w:hAnsi="Arial" w:cs="Arial"/>
        </w:rPr>
        <w:t xml:space="preserve"> </w:t>
      </w:r>
      <w:r w:rsidR="00F56049">
        <w:rPr>
          <w:rFonts w:ascii="Arial" w:hAnsi="Arial" w:cs="Arial"/>
        </w:rPr>
        <w:t xml:space="preserve">as there were no competition concerns. </w:t>
      </w:r>
      <w:r>
        <w:rPr>
          <w:rFonts w:ascii="Arial" w:hAnsi="Arial" w:cs="Arial"/>
        </w:rPr>
        <w:t xml:space="preserve">Premier is presently using the site for milling and the merger will affect no other tenants. </w:t>
      </w:r>
    </w:p>
    <w:p w:rsidR="00911154" w:rsidRDefault="00911154" w:rsidP="00F56049">
      <w:pPr>
        <w:rPr>
          <w:rFonts w:ascii="Arial" w:hAnsi="Arial" w:cs="Arial"/>
        </w:rPr>
      </w:pPr>
    </w:p>
    <w:p w:rsidR="00911154" w:rsidRDefault="00BF6C5F" w:rsidP="009111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regard to </w:t>
      </w:r>
      <w:r w:rsidR="00911154" w:rsidRPr="005555CD">
        <w:rPr>
          <w:rFonts w:ascii="Arial" w:hAnsi="Arial" w:cs="Arial"/>
        </w:rPr>
        <w:t>VAPS Holdings (NEW</w:t>
      </w:r>
      <w:r>
        <w:rPr>
          <w:rFonts w:ascii="Arial" w:hAnsi="Arial" w:cs="Arial"/>
        </w:rPr>
        <w:t xml:space="preserve">CO) and </w:t>
      </w:r>
      <w:proofErr w:type="spellStart"/>
      <w:r>
        <w:rPr>
          <w:rFonts w:ascii="Arial" w:hAnsi="Arial" w:cs="Arial"/>
        </w:rPr>
        <w:t>Motorite</w:t>
      </w:r>
      <w:proofErr w:type="spellEnd"/>
      <w:r>
        <w:rPr>
          <w:rFonts w:ascii="Arial" w:hAnsi="Arial" w:cs="Arial"/>
        </w:rPr>
        <w:t xml:space="preserve"> Administrators, the Competition Tribunal is still considering the matter. </w:t>
      </w:r>
      <w:r w:rsidR="00911154">
        <w:rPr>
          <w:rFonts w:ascii="Arial" w:hAnsi="Arial" w:cs="Arial"/>
        </w:rPr>
        <w:t xml:space="preserve">Competition Commission </w:t>
      </w:r>
      <w:r>
        <w:rPr>
          <w:rFonts w:ascii="Arial" w:hAnsi="Arial" w:cs="Arial"/>
        </w:rPr>
        <w:t xml:space="preserve">recommended that the merger be allowed, but said it was </w:t>
      </w:r>
      <w:r w:rsidR="00911154">
        <w:rPr>
          <w:rFonts w:ascii="Arial" w:hAnsi="Arial" w:cs="Arial"/>
        </w:rPr>
        <w:t xml:space="preserve">concerned about the </w:t>
      </w:r>
      <w:r>
        <w:rPr>
          <w:rFonts w:ascii="Arial" w:hAnsi="Arial" w:cs="Arial"/>
        </w:rPr>
        <w:t xml:space="preserve">possible impact </w:t>
      </w:r>
      <w:r w:rsidR="00911154">
        <w:rPr>
          <w:rFonts w:ascii="Arial" w:hAnsi="Arial" w:cs="Arial"/>
        </w:rPr>
        <w:t xml:space="preserve">a merger by NEWCO, controlled jointly by </w:t>
      </w:r>
      <w:proofErr w:type="spellStart"/>
      <w:r w:rsidR="00911154">
        <w:rPr>
          <w:rFonts w:ascii="Arial" w:hAnsi="Arial" w:cs="Arial"/>
        </w:rPr>
        <w:t>Newinvest</w:t>
      </w:r>
      <w:proofErr w:type="spellEnd"/>
      <w:r w:rsidR="00911154">
        <w:rPr>
          <w:rFonts w:ascii="Arial" w:hAnsi="Arial" w:cs="Arial"/>
        </w:rPr>
        <w:t xml:space="preserve"> (owned by First Rand which owns </w:t>
      </w:r>
      <w:proofErr w:type="spellStart"/>
      <w:r w:rsidR="00911154">
        <w:rPr>
          <w:rFonts w:ascii="Arial" w:hAnsi="Arial" w:cs="Arial"/>
        </w:rPr>
        <w:t>Westbank</w:t>
      </w:r>
      <w:proofErr w:type="spellEnd"/>
      <w:r w:rsidR="00911154">
        <w:rPr>
          <w:rFonts w:ascii="Arial" w:hAnsi="Arial" w:cs="Arial"/>
        </w:rPr>
        <w:t xml:space="preserve">) and Sand Olive (owned by </w:t>
      </w:r>
      <w:proofErr w:type="spellStart"/>
      <w:r w:rsidR="00911154">
        <w:rPr>
          <w:rFonts w:ascii="Arial" w:hAnsi="Arial" w:cs="Arial"/>
        </w:rPr>
        <w:t>Hollard</w:t>
      </w:r>
      <w:proofErr w:type="spellEnd"/>
      <w:r w:rsidR="00911154">
        <w:rPr>
          <w:rFonts w:ascii="Arial" w:hAnsi="Arial" w:cs="Arial"/>
        </w:rPr>
        <w:t xml:space="preserve"> Insurance)</w:t>
      </w:r>
      <w:r>
        <w:rPr>
          <w:rFonts w:ascii="Arial" w:hAnsi="Arial" w:cs="Arial"/>
        </w:rPr>
        <w:t xml:space="preserve"> would have in the automobile finance sector</w:t>
      </w:r>
      <w:r w:rsidR="00911154">
        <w:rPr>
          <w:rFonts w:ascii="Arial" w:hAnsi="Arial" w:cs="Arial"/>
        </w:rPr>
        <w:t xml:space="preserve">. </w:t>
      </w:r>
      <w:proofErr w:type="spellStart"/>
      <w:r w:rsidR="00911154">
        <w:rPr>
          <w:rFonts w:ascii="Arial" w:hAnsi="Arial" w:cs="Arial"/>
        </w:rPr>
        <w:t>Westbank</w:t>
      </w:r>
      <w:proofErr w:type="spellEnd"/>
      <w:r w:rsidR="00911154">
        <w:rPr>
          <w:rFonts w:ascii="Arial" w:hAnsi="Arial" w:cs="Arial"/>
        </w:rPr>
        <w:t xml:space="preserve"> provides vehicle financing and is the largest</w:t>
      </w:r>
      <w:r w:rsidR="001434E2">
        <w:rPr>
          <w:rFonts w:ascii="Arial" w:hAnsi="Arial" w:cs="Arial"/>
        </w:rPr>
        <w:t xml:space="preserve"> provider</w:t>
      </w:r>
      <w:r w:rsidR="0091115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South Africa, </w:t>
      </w:r>
      <w:r w:rsidR="00911154">
        <w:rPr>
          <w:rFonts w:ascii="Arial" w:hAnsi="Arial" w:cs="Arial"/>
        </w:rPr>
        <w:t>while</w:t>
      </w:r>
      <w:r w:rsidR="001434E2">
        <w:rPr>
          <w:rFonts w:ascii="Arial" w:hAnsi="Arial" w:cs="Arial"/>
        </w:rPr>
        <w:t xml:space="preserve"> </w:t>
      </w:r>
      <w:r w:rsidR="001434E2" w:rsidRPr="005555CD">
        <w:rPr>
          <w:rFonts w:ascii="Arial" w:hAnsi="Arial" w:cs="Arial"/>
        </w:rPr>
        <w:t>Small Area Repair Technology</w:t>
      </w:r>
      <w:r w:rsidR="00911154">
        <w:rPr>
          <w:rFonts w:ascii="Arial" w:hAnsi="Arial" w:cs="Arial"/>
        </w:rPr>
        <w:t xml:space="preserve"> </w:t>
      </w:r>
      <w:r w:rsidR="001434E2">
        <w:rPr>
          <w:rFonts w:ascii="Arial" w:hAnsi="Arial" w:cs="Arial"/>
        </w:rPr>
        <w:t>(</w:t>
      </w:r>
      <w:r w:rsidR="00911154">
        <w:rPr>
          <w:rFonts w:ascii="Arial" w:hAnsi="Arial" w:cs="Arial"/>
        </w:rPr>
        <w:t>Smart</w:t>
      </w:r>
      <w:r w:rsidR="001434E2">
        <w:rPr>
          <w:rFonts w:ascii="Arial" w:hAnsi="Arial" w:cs="Arial"/>
        </w:rPr>
        <w:t>)</w:t>
      </w:r>
      <w:r w:rsidR="00911154">
        <w:rPr>
          <w:rFonts w:ascii="Arial" w:hAnsi="Arial" w:cs="Arial"/>
        </w:rPr>
        <w:t xml:space="preserve"> provides dent and scratch cover and </w:t>
      </w:r>
      <w:proofErr w:type="spellStart"/>
      <w:r w:rsidR="00911154">
        <w:rPr>
          <w:rFonts w:ascii="Arial" w:hAnsi="Arial" w:cs="Arial"/>
        </w:rPr>
        <w:t>Motorite</w:t>
      </w:r>
      <w:proofErr w:type="spellEnd"/>
      <w:r w:rsidR="00911154">
        <w:rPr>
          <w:rFonts w:ascii="Arial" w:hAnsi="Arial" w:cs="Arial"/>
        </w:rPr>
        <w:t xml:space="preserve"> underwrites vehicle warranty </w:t>
      </w:r>
      <w:proofErr w:type="spellStart"/>
      <w:r w:rsidR="00911154">
        <w:rPr>
          <w:rFonts w:ascii="Arial" w:hAnsi="Arial" w:cs="Arial"/>
        </w:rPr>
        <w:t>products.The</w:t>
      </w:r>
      <w:proofErr w:type="spellEnd"/>
      <w:r w:rsidR="00911154">
        <w:rPr>
          <w:rFonts w:ascii="Arial" w:hAnsi="Arial" w:cs="Arial"/>
        </w:rPr>
        <w:t xml:space="preserve"> Competition Commission is recommending that the merger be approved, but has asked that certain conditions be imposed to ensure that other competitors in the sector</w:t>
      </w:r>
      <w:r>
        <w:rPr>
          <w:rFonts w:ascii="Arial" w:hAnsi="Arial" w:cs="Arial"/>
        </w:rPr>
        <w:t>,</w:t>
      </w:r>
      <w:r w:rsidR="00911154">
        <w:rPr>
          <w:rFonts w:ascii="Arial" w:hAnsi="Arial" w:cs="Arial"/>
        </w:rPr>
        <w:t xml:space="preserve"> </w:t>
      </w:r>
      <w:r w:rsidR="001434E2">
        <w:rPr>
          <w:rFonts w:ascii="Arial" w:hAnsi="Arial" w:cs="Arial"/>
        </w:rPr>
        <w:t xml:space="preserve">that offer similar services to </w:t>
      </w:r>
      <w:proofErr w:type="spellStart"/>
      <w:r w:rsidR="001434E2">
        <w:rPr>
          <w:rFonts w:ascii="Arial" w:hAnsi="Arial" w:cs="Arial"/>
        </w:rPr>
        <w:t>Motorite</w:t>
      </w:r>
      <w:proofErr w:type="spellEnd"/>
      <w:r w:rsidR="001434E2">
        <w:rPr>
          <w:rFonts w:ascii="Arial" w:hAnsi="Arial" w:cs="Arial"/>
        </w:rPr>
        <w:t xml:space="preserve"> and Smart and Engine Room</w:t>
      </w:r>
      <w:r>
        <w:rPr>
          <w:rFonts w:ascii="Arial" w:hAnsi="Arial" w:cs="Arial"/>
        </w:rPr>
        <w:t>,</w:t>
      </w:r>
      <w:r w:rsidR="001434E2">
        <w:rPr>
          <w:rFonts w:ascii="Arial" w:hAnsi="Arial" w:cs="Arial"/>
        </w:rPr>
        <w:t xml:space="preserve"> </w:t>
      </w:r>
      <w:r w:rsidR="00911154">
        <w:rPr>
          <w:rFonts w:ascii="Arial" w:hAnsi="Arial" w:cs="Arial"/>
        </w:rPr>
        <w:t xml:space="preserve">will not be excluded. </w:t>
      </w:r>
    </w:p>
    <w:p w:rsidR="00F56049" w:rsidRDefault="00F56049" w:rsidP="00F56049">
      <w:pPr>
        <w:rPr>
          <w:rFonts w:ascii="Arial" w:hAnsi="Arial" w:cs="Arial"/>
        </w:rPr>
      </w:pPr>
    </w:p>
    <w:p w:rsidR="00F56049" w:rsidRDefault="00F56049" w:rsidP="00F56049">
      <w:pPr>
        <w:rPr>
          <w:rFonts w:ascii="Arial" w:hAnsi="Arial" w:cs="Arial"/>
        </w:rPr>
      </w:pPr>
    </w:p>
    <w:p w:rsidR="00F56049" w:rsidRPr="00E02933" w:rsidRDefault="00F56049" w:rsidP="00F56049">
      <w:pPr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F56049" w:rsidRDefault="00F56049" w:rsidP="00F56049">
      <w:pPr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F56049" w:rsidRDefault="00F56049" w:rsidP="00F56049">
      <w:pPr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F56049" w:rsidRPr="00E02933" w:rsidRDefault="00F56049" w:rsidP="00F56049">
      <w:pPr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F56049" w:rsidRPr="00E02933" w:rsidRDefault="00F56049" w:rsidP="00F56049">
      <w:pPr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F56049" w:rsidRPr="00E02933" w:rsidRDefault="00F56049" w:rsidP="00F56049">
      <w:pPr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F56049" w:rsidRDefault="00F56049" w:rsidP="00F56049"/>
    <w:p w:rsidR="00F56049" w:rsidRDefault="00F56049" w:rsidP="00F56049"/>
    <w:p w:rsidR="00F56049" w:rsidRPr="00480C35" w:rsidRDefault="00F56049" w:rsidP="00F56049">
      <w:pPr>
        <w:jc w:val="both"/>
        <w:rPr>
          <w:rFonts w:ascii="Arial" w:hAnsi="Arial" w:cs="Arial"/>
          <w:lang w:eastAsia="en-ZA"/>
        </w:rPr>
      </w:pPr>
      <w:r w:rsidRPr="00480C35">
        <w:rPr>
          <w:rFonts w:ascii="Arial" w:hAnsi="Arial" w:cs="Arial"/>
          <w:color w:val="000000"/>
          <w:lang w:eastAsia="en-ZA"/>
        </w:rPr>
        <w:t>On Behalf Of:</w:t>
      </w:r>
    </w:p>
    <w:p w:rsidR="00F56049" w:rsidRPr="00480C35" w:rsidRDefault="00F56049" w:rsidP="00F56049">
      <w:pPr>
        <w:jc w:val="both"/>
        <w:rPr>
          <w:rFonts w:ascii="Arial" w:hAnsi="Arial" w:cs="Arial"/>
          <w:lang w:eastAsia="en-ZA"/>
        </w:rPr>
      </w:pPr>
      <w:proofErr w:type="spellStart"/>
      <w:r w:rsidRPr="00480C35">
        <w:rPr>
          <w:rFonts w:ascii="Arial" w:hAnsi="Arial" w:cs="Arial"/>
          <w:color w:val="000000"/>
          <w:lang w:eastAsia="en-ZA"/>
        </w:rPr>
        <w:t>Lerato</w:t>
      </w:r>
      <w:proofErr w:type="spellEnd"/>
      <w:r w:rsidRPr="00480C35">
        <w:rPr>
          <w:rFonts w:ascii="Arial" w:hAnsi="Arial" w:cs="Arial"/>
          <w:color w:val="000000"/>
          <w:lang w:eastAsia="en-ZA"/>
        </w:rPr>
        <w:t xml:space="preserve"> </w:t>
      </w:r>
      <w:proofErr w:type="spellStart"/>
      <w:r w:rsidRPr="00480C35">
        <w:rPr>
          <w:rFonts w:ascii="Arial" w:hAnsi="Arial" w:cs="Arial"/>
          <w:color w:val="000000"/>
          <w:lang w:eastAsia="en-ZA"/>
        </w:rPr>
        <w:t>Motaung</w:t>
      </w:r>
      <w:proofErr w:type="spellEnd"/>
      <w:r w:rsidRPr="00480C35">
        <w:rPr>
          <w:rFonts w:ascii="Arial" w:hAnsi="Arial" w:cs="Arial"/>
          <w:color w:val="000000"/>
          <w:lang w:eastAsia="en-ZA"/>
        </w:rPr>
        <w:t>                                                   </w:t>
      </w:r>
    </w:p>
    <w:p w:rsidR="00F56049" w:rsidRPr="00480C35" w:rsidRDefault="00F56049" w:rsidP="00F56049">
      <w:pPr>
        <w:jc w:val="both"/>
        <w:rPr>
          <w:rFonts w:ascii="Arial" w:hAnsi="Arial" w:cs="Arial"/>
          <w:lang w:eastAsia="en-ZA"/>
        </w:rPr>
      </w:pPr>
      <w:r w:rsidRPr="00480C35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F56049" w:rsidRPr="00480C35" w:rsidRDefault="00F56049" w:rsidP="00F56049">
      <w:pPr>
        <w:jc w:val="both"/>
        <w:rPr>
          <w:rFonts w:ascii="Arial" w:hAnsi="Arial" w:cs="Arial"/>
          <w:lang w:eastAsia="en-ZA"/>
        </w:rPr>
      </w:pPr>
      <w:r w:rsidRPr="00480C35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F56049" w:rsidRPr="00480C35" w:rsidRDefault="00F56049" w:rsidP="00F56049">
      <w:pPr>
        <w:jc w:val="both"/>
        <w:rPr>
          <w:rFonts w:ascii="Arial" w:hAnsi="Arial" w:cs="Arial"/>
          <w:lang w:eastAsia="en-ZA"/>
        </w:rPr>
      </w:pPr>
      <w:r w:rsidRPr="00480C35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F56049" w:rsidRPr="00480C35" w:rsidRDefault="00F56049" w:rsidP="00F56049">
      <w:pPr>
        <w:jc w:val="both"/>
        <w:rPr>
          <w:rFonts w:ascii="Arial" w:hAnsi="Arial" w:cs="Arial"/>
        </w:rPr>
      </w:pPr>
      <w:r w:rsidRPr="00480C35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480C35">
          <w:rPr>
            <w:rFonts w:ascii="Arial" w:hAnsi="Arial" w:cs="Arial"/>
            <w:color w:val="0000FF"/>
            <w:u w:val="single"/>
            <w:lang w:eastAsia="en-ZA"/>
          </w:rPr>
          <w:t>LeratoM@comptrib.co.za</w:t>
        </w:r>
      </w:hyperlink>
    </w:p>
    <w:p w:rsidR="00F56049" w:rsidRDefault="00F56049" w:rsidP="00F56049"/>
    <w:p w:rsidR="00F56049" w:rsidRDefault="00F56049" w:rsidP="00F56049"/>
    <w:p w:rsidR="00F56049" w:rsidRDefault="00F56049" w:rsidP="00F56049"/>
    <w:p w:rsidR="001260C5" w:rsidRDefault="00C8777A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49"/>
    <w:rsid w:val="001434E2"/>
    <w:rsid w:val="00212E59"/>
    <w:rsid w:val="00911154"/>
    <w:rsid w:val="00BF6C5F"/>
    <w:rsid w:val="00F56049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5FF61-9647-4EE6-902F-A965DBA9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0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chantelleb\Documents\chantelleb@comptrib.co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2015-10-28T10:03:00Z</dcterms:created>
  <dcterms:modified xsi:type="dcterms:W3CDTF">2015-10-28T11:58:00Z</dcterms:modified>
</cp:coreProperties>
</file>