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AA" w:rsidRPr="00B95374" w:rsidRDefault="007177AA" w:rsidP="00B95374">
      <w:pPr>
        <w:spacing w:after="0" w:line="240" w:lineRule="auto"/>
        <w:jc w:val="center"/>
        <w:rPr>
          <w:rFonts w:ascii="Arial" w:hAnsi="Arial" w:cs="Arial"/>
          <w:b/>
        </w:rPr>
      </w:pPr>
      <w:r w:rsidRPr="00B95374">
        <w:rPr>
          <w:rFonts w:ascii="Arial" w:hAnsi="Arial" w:cs="Arial"/>
          <w:noProof/>
          <w:lang w:eastAsia="en-ZA"/>
        </w:rPr>
        <w:drawing>
          <wp:inline distT="0" distB="0" distL="0" distR="0">
            <wp:extent cx="2124075" cy="1390650"/>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p w:rsidR="007177AA" w:rsidRPr="00B95374" w:rsidRDefault="007177AA" w:rsidP="00B95374">
      <w:pPr>
        <w:spacing w:after="0" w:line="240" w:lineRule="auto"/>
        <w:jc w:val="both"/>
        <w:rPr>
          <w:rFonts w:ascii="Arial" w:hAnsi="Arial" w:cs="Arial"/>
          <w:b/>
        </w:rPr>
      </w:pPr>
    </w:p>
    <w:p w:rsidR="007177AA" w:rsidRPr="00B95374" w:rsidRDefault="007177AA" w:rsidP="00B95374">
      <w:pPr>
        <w:spacing w:after="0" w:line="240" w:lineRule="auto"/>
        <w:jc w:val="both"/>
        <w:rPr>
          <w:rFonts w:ascii="Arial" w:hAnsi="Arial" w:cs="Arial"/>
          <w:b/>
        </w:rPr>
      </w:pPr>
    </w:p>
    <w:p w:rsidR="008F0AEC" w:rsidRPr="00B95374" w:rsidRDefault="006D3406" w:rsidP="00B95374">
      <w:pPr>
        <w:spacing w:after="0" w:line="240" w:lineRule="auto"/>
        <w:rPr>
          <w:rFonts w:ascii="Arial" w:hAnsi="Arial" w:cs="Arial"/>
          <w:b/>
          <w:color w:val="996633"/>
        </w:rPr>
      </w:pPr>
      <w:r w:rsidRPr="00B95374">
        <w:rPr>
          <w:rFonts w:ascii="Arial" w:hAnsi="Arial" w:cs="Arial"/>
          <w:b/>
          <w:color w:val="996633"/>
        </w:rPr>
        <w:t>OUTCOME OF</w:t>
      </w:r>
      <w:r w:rsidR="005F74D6" w:rsidRPr="00B95374">
        <w:rPr>
          <w:rFonts w:ascii="Arial" w:hAnsi="Arial" w:cs="Arial"/>
          <w:b/>
          <w:color w:val="996633"/>
        </w:rPr>
        <w:t xml:space="preserve"> </w:t>
      </w:r>
      <w:r w:rsidR="00A02ADC" w:rsidRPr="00B95374">
        <w:rPr>
          <w:rFonts w:ascii="Arial" w:hAnsi="Arial" w:cs="Arial"/>
          <w:b/>
          <w:color w:val="996633"/>
        </w:rPr>
        <w:t>COMPETITION TRIBUNAL</w:t>
      </w:r>
      <w:r w:rsidR="00AC4CF7" w:rsidRPr="00B95374">
        <w:rPr>
          <w:rFonts w:ascii="Arial" w:hAnsi="Arial" w:cs="Arial"/>
          <w:b/>
          <w:color w:val="996633"/>
        </w:rPr>
        <w:t xml:space="preserve"> HEARING</w:t>
      </w:r>
    </w:p>
    <w:p w:rsidR="00E16628" w:rsidRPr="000155EA" w:rsidRDefault="00E16628" w:rsidP="00B95374">
      <w:pPr>
        <w:spacing w:after="0" w:line="240" w:lineRule="auto"/>
        <w:rPr>
          <w:rFonts w:ascii="Arial" w:eastAsia="Calibri" w:hAnsi="Arial" w:cs="Arial"/>
          <w:i/>
          <w:color w:val="333333"/>
          <w:sz w:val="20"/>
          <w:szCs w:val="20"/>
          <w:lang w:val="en-US" w:eastAsia="en-ZA"/>
        </w:rPr>
      </w:pPr>
      <w:r w:rsidRPr="000155EA">
        <w:rPr>
          <w:rFonts w:ascii="Arial" w:eastAsia="Calibri" w:hAnsi="Arial" w:cs="Arial"/>
          <w:i/>
          <w:color w:val="333333"/>
          <w:sz w:val="20"/>
          <w:szCs w:val="20"/>
          <w:lang w:val="en-US" w:eastAsia="en-ZA"/>
        </w:rPr>
        <w:t>(Following is a guideline for journalists. The information can be used but please do not quote Nandi Mokoena)</w:t>
      </w:r>
    </w:p>
    <w:p w:rsidR="00E16628" w:rsidRPr="00B95374" w:rsidRDefault="00E16628" w:rsidP="00B95374">
      <w:pPr>
        <w:spacing w:after="0" w:line="240" w:lineRule="auto"/>
        <w:jc w:val="both"/>
        <w:rPr>
          <w:rFonts w:ascii="Arial" w:hAnsi="Arial" w:cs="Arial"/>
          <w:b/>
        </w:rPr>
      </w:pPr>
    </w:p>
    <w:p w:rsidR="000C55DD" w:rsidRPr="00B95374" w:rsidRDefault="000F55CB" w:rsidP="00B95374">
      <w:pPr>
        <w:spacing w:after="0" w:line="240" w:lineRule="auto"/>
        <w:jc w:val="both"/>
        <w:rPr>
          <w:rFonts w:ascii="Arial" w:hAnsi="Arial" w:cs="Arial"/>
          <w:b/>
          <w:color w:val="000000"/>
          <w:lang w:eastAsia="en-ZA"/>
        </w:rPr>
      </w:pPr>
      <w:r w:rsidRPr="00B95374">
        <w:rPr>
          <w:rFonts w:ascii="Arial" w:hAnsi="Arial" w:cs="Arial"/>
          <w:b/>
          <w:color w:val="000000"/>
          <w:lang w:eastAsia="en-ZA"/>
        </w:rPr>
        <w:t>Tribunal approves</w:t>
      </w:r>
      <w:r w:rsidR="001A641F" w:rsidRPr="00B95374">
        <w:rPr>
          <w:rFonts w:ascii="Arial" w:hAnsi="Arial" w:cs="Arial"/>
          <w:b/>
          <w:color w:val="000000"/>
          <w:lang w:eastAsia="en-ZA"/>
        </w:rPr>
        <w:t xml:space="preserve"> </w:t>
      </w:r>
      <w:r w:rsidR="001C2D73" w:rsidRPr="00B95374">
        <w:rPr>
          <w:rFonts w:ascii="Arial" w:hAnsi="Arial" w:cs="Arial"/>
          <w:b/>
          <w:color w:val="000000"/>
          <w:lang w:eastAsia="en-ZA"/>
        </w:rPr>
        <w:t>Adcock / BB Investment</w:t>
      </w:r>
      <w:r w:rsidR="001A641F" w:rsidRPr="00B95374">
        <w:rPr>
          <w:rFonts w:ascii="Arial" w:hAnsi="Arial" w:cs="Arial"/>
          <w:b/>
          <w:color w:val="000000"/>
          <w:lang w:eastAsia="en-ZA"/>
        </w:rPr>
        <w:t xml:space="preserve"> merger with </w:t>
      </w:r>
      <w:r w:rsidR="002172C8" w:rsidRPr="00B95374">
        <w:rPr>
          <w:rFonts w:ascii="Arial" w:hAnsi="Arial" w:cs="Arial"/>
          <w:b/>
          <w:color w:val="000000"/>
          <w:lang w:eastAsia="en-ZA"/>
        </w:rPr>
        <w:t xml:space="preserve">employment </w:t>
      </w:r>
      <w:r w:rsidR="001A641F" w:rsidRPr="00B95374">
        <w:rPr>
          <w:rFonts w:ascii="Arial" w:hAnsi="Arial" w:cs="Arial"/>
          <w:b/>
          <w:color w:val="000000"/>
          <w:lang w:eastAsia="en-ZA"/>
        </w:rPr>
        <w:t>conditions</w:t>
      </w:r>
    </w:p>
    <w:p w:rsidR="001A641F" w:rsidRPr="00B95374" w:rsidRDefault="001A641F" w:rsidP="00B95374">
      <w:pPr>
        <w:spacing w:after="0" w:line="240" w:lineRule="auto"/>
        <w:jc w:val="both"/>
        <w:rPr>
          <w:rFonts w:ascii="Arial" w:hAnsi="Arial" w:cs="Arial"/>
          <w:color w:val="000000"/>
          <w:lang w:eastAsia="en-ZA"/>
        </w:rPr>
      </w:pPr>
    </w:p>
    <w:p w:rsidR="00D262A7" w:rsidRPr="00B95374" w:rsidRDefault="008C5DA6" w:rsidP="00B95374">
      <w:pPr>
        <w:spacing w:after="0" w:line="240" w:lineRule="auto"/>
        <w:jc w:val="both"/>
        <w:rPr>
          <w:rFonts w:ascii="Arial" w:hAnsi="Arial" w:cs="Arial"/>
          <w:color w:val="000000"/>
          <w:lang w:eastAsia="en-ZA"/>
        </w:rPr>
      </w:pPr>
      <w:r w:rsidRPr="00B95374">
        <w:rPr>
          <w:rFonts w:ascii="Arial" w:hAnsi="Arial" w:cs="Arial"/>
          <w:color w:val="000000"/>
          <w:lang w:eastAsia="en-ZA"/>
        </w:rPr>
        <w:t xml:space="preserve">Today the </w:t>
      </w:r>
      <w:r w:rsidR="007F4865" w:rsidRPr="00B95374">
        <w:rPr>
          <w:rFonts w:ascii="Arial" w:hAnsi="Arial" w:cs="Arial"/>
          <w:color w:val="000000"/>
          <w:lang w:eastAsia="en-ZA"/>
        </w:rPr>
        <w:t xml:space="preserve">Competition Tribunal </w:t>
      </w:r>
      <w:r w:rsidRPr="00B95374">
        <w:rPr>
          <w:rFonts w:ascii="Arial" w:hAnsi="Arial" w:cs="Arial"/>
          <w:color w:val="000000"/>
          <w:lang w:eastAsia="en-ZA"/>
        </w:rPr>
        <w:t xml:space="preserve">issued its </w:t>
      </w:r>
      <w:r w:rsidR="00050558">
        <w:rPr>
          <w:rFonts w:ascii="Arial" w:hAnsi="Arial" w:cs="Arial"/>
          <w:color w:val="000000"/>
          <w:lang w:eastAsia="en-ZA"/>
        </w:rPr>
        <w:t xml:space="preserve">confidential </w:t>
      </w:r>
      <w:r w:rsidRPr="00B95374">
        <w:rPr>
          <w:rFonts w:ascii="Arial" w:hAnsi="Arial" w:cs="Arial"/>
          <w:color w:val="000000"/>
          <w:lang w:eastAsia="en-ZA"/>
        </w:rPr>
        <w:t xml:space="preserve">reasons for </w:t>
      </w:r>
      <w:r w:rsidR="007F4865" w:rsidRPr="00B95374">
        <w:rPr>
          <w:rFonts w:ascii="Arial" w:hAnsi="Arial" w:cs="Arial"/>
          <w:color w:val="000000"/>
          <w:lang w:eastAsia="en-ZA"/>
        </w:rPr>
        <w:t>approv</w:t>
      </w:r>
      <w:r w:rsidRPr="00B95374">
        <w:rPr>
          <w:rFonts w:ascii="Arial" w:hAnsi="Arial" w:cs="Arial"/>
          <w:color w:val="000000"/>
          <w:lang w:eastAsia="en-ZA"/>
        </w:rPr>
        <w:t xml:space="preserve">ing </w:t>
      </w:r>
      <w:r w:rsidR="007F4865" w:rsidRPr="00B95374">
        <w:rPr>
          <w:rFonts w:ascii="Arial" w:hAnsi="Arial" w:cs="Arial"/>
          <w:color w:val="000000"/>
          <w:lang w:eastAsia="en-ZA"/>
        </w:rPr>
        <w:t xml:space="preserve">the merger between </w:t>
      </w:r>
      <w:r w:rsidR="007F4865" w:rsidRPr="00B95374">
        <w:rPr>
          <w:rFonts w:ascii="Arial" w:hAnsi="Arial" w:cs="Arial"/>
          <w:bCs/>
          <w:iCs/>
        </w:rPr>
        <w:t>BB Investment Company (Pty) Ltd (“BB”)</w:t>
      </w:r>
      <w:r w:rsidRPr="00B95374">
        <w:rPr>
          <w:rFonts w:ascii="Arial" w:hAnsi="Arial" w:cs="Arial"/>
          <w:bCs/>
          <w:iCs/>
        </w:rPr>
        <w:t xml:space="preserve"> </w:t>
      </w:r>
      <w:r w:rsidR="007F4865" w:rsidRPr="00B95374">
        <w:rPr>
          <w:rFonts w:ascii="Arial" w:hAnsi="Arial" w:cs="Arial"/>
          <w:bCs/>
          <w:iCs/>
        </w:rPr>
        <w:t>and Adcock Ingram Holdings</w:t>
      </w:r>
      <w:r w:rsidR="007F4865" w:rsidRPr="00B95374">
        <w:rPr>
          <w:rFonts w:ascii="Arial" w:hAnsi="Arial" w:cs="Arial"/>
          <w:b/>
          <w:bCs/>
          <w:iCs/>
        </w:rPr>
        <w:t xml:space="preserve"> </w:t>
      </w:r>
      <w:r w:rsidR="007F4865" w:rsidRPr="00B95374">
        <w:rPr>
          <w:rFonts w:ascii="Arial" w:hAnsi="Arial" w:cs="Arial"/>
          <w:bCs/>
          <w:iCs/>
        </w:rPr>
        <w:t>(Pty) Ltd (“Adcock”)</w:t>
      </w:r>
      <w:r w:rsidR="006A12CB" w:rsidRPr="00B95374">
        <w:rPr>
          <w:rFonts w:ascii="Arial" w:hAnsi="Arial" w:cs="Arial"/>
          <w:color w:val="000000"/>
          <w:lang w:eastAsia="en-ZA"/>
        </w:rPr>
        <w:t xml:space="preserve"> </w:t>
      </w:r>
      <w:r w:rsidRPr="00B95374">
        <w:rPr>
          <w:rFonts w:ascii="Arial" w:hAnsi="Arial" w:cs="Arial"/>
          <w:color w:val="000000"/>
          <w:lang w:eastAsia="en-ZA"/>
        </w:rPr>
        <w:t xml:space="preserve">on condition that </w:t>
      </w:r>
      <w:r w:rsidRPr="00B95374">
        <w:rPr>
          <w:rFonts w:ascii="Arial" w:hAnsi="Arial" w:cs="Arial"/>
          <w:lang w:eastAsia="en-ZA"/>
        </w:rPr>
        <w:t>Adcock</w:t>
      </w:r>
      <w:r w:rsidRPr="00B95374">
        <w:rPr>
          <w:rFonts w:ascii="Arial" w:hAnsi="Arial" w:cs="Arial"/>
          <w:color w:val="000000"/>
          <w:lang w:eastAsia="en-ZA"/>
        </w:rPr>
        <w:t xml:space="preserve"> will not retrench any employees for one year from the day the deal is approved. </w:t>
      </w:r>
      <w:r w:rsidR="00050558">
        <w:rPr>
          <w:rFonts w:ascii="Arial" w:hAnsi="Arial" w:cs="Arial"/>
          <w:color w:val="000000"/>
          <w:lang w:eastAsia="en-ZA"/>
        </w:rPr>
        <w:t xml:space="preserve">BB is a wholly owned subsidiary of </w:t>
      </w:r>
      <w:r w:rsidR="00050558" w:rsidRPr="00B95374">
        <w:rPr>
          <w:rFonts w:ascii="Arial" w:hAnsi="Arial" w:cs="Arial"/>
        </w:rPr>
        <w:t>Bidvest Group Ltd (“Bidvest”)</w:t>
      </w:r>
      <w:r w:rsidR="00050558">
        <w:rPr>
          <w:rFonts w:ascii="Arial" w:hAnsi="Arial" w:cs="Arial"/>
        </w:rPr>
        <w:t xml:space="preserve">. </w:t>
      </w:r>
      <w:r w:rsidRPr="00B95374">
        <w:rPr>
          <w:rFonts w:ascii="Arial" w:hAnsi="Arial" w:cs="Arial"/>
          <w:color w:val="000000"/>
          <w:lang w:eastAsia="en-ZA"/>
        </w:rPr>
        <w:t>The Tribunal made an order to this effect on 19 August and earlier today issued the confidential reasons for this decision. A non-confidential version of the reasons will be a</w:t>
      </w:r>
      <w:r w:rsidR="000155EA">
        <w:rPr>
          <w:rFonts w:ascii="Arial" w:hAnsi="Arial" w:cs="Arial"/>
          <w:color w:val="000000"/>
          <w:lang w:eastAsia="en-ZA"/>
        </w:rPr>
        <w:t>vailable in due course.</w:t>
      </w:r>
    </w:p>
    <w:p w:rsidR="009A1014" w:rsidRPr="00B95374" w:rsidRDefault="009A1014" w:rsidP="00B95374">
      <w:pPr>
        <w:spacing w:after="0" w:line="240" w:lineRule="auto"/>
        <w:jc w:val="both"/>
        <w:rPr>
          <w:rFonts w:ascii="Arial" w:hAnsi="Arial" w:cs="Arial"/>
          <w:color w:val="000000"/>
          <w:lang w:eastAsia="en-ZA"/>
        </w:rPr>
      </w:pPr>
    </w:p>
    <w:p w:rsidR="00B95374" w:rsidRPr="00B95374" w:rsidRDefault="008C5DA6" w:rsidP="00B95374">
      <w:pPr>
        <w:spacing w:after="0" w:line="240" w:lineRule="auto"/>
        <w:jc w:val="both"/>
        <w:rPr>
          <w:rFonts w:ascii="Arial" w:hAnsi="Arial" w:cs="Arial"/>
        </w:rPr>
      </w:pPr>
      <w:r w:rsidRPr="00B95374">
        <w:rPr>
          <w:rFonts w:ascii="Arial" w:hAnsi="Arial" w:cs="Arial"/>
          <w:color w:val="000000"/>
          <w:lang w:eastAsia="en-ZA"/>
        </w:rPr>
        <w:t>The Tribunal’s reasons follow a one-day hearing on 6 August 2014</w:t>
      </w:r>
      <w:r w:rsidR="00B95374" w:rsidRPr="00B95374">
        <w:rPr>
          <w:rFonts w:ascii="Arial" w:hAnsi="Arial" w:cs="Arial"/>
          <w:color w:val="000000"/>
          <w:lang w:eastAsia="en-ZA"/>
        </w:rPr>
        <w:t xml:space="preserve">. </w:t>
      </w:r>
      <w:r w:rsidR="00B95374" w:rsidRPr="00B95374">
        <w:rPr>
          <w:rFonts w:ascii="Arial" w:hAnsi="Arial" w:cs="Arial"/>
        </w:rPr>
        <w:t xml:space="preserve">There were no competition concerns arising from the </w:t>
      </w:r>
      <w:r w:rsidR="00B95374">
        <w:rPr>
          <w:rFonts w:ascii="Arial" w:hAnsi="Arial" w:cs="Arial"/>
        </w:rPr>
        <w:t>merger but the deal</w:t>
      </w:r>
      <w:r w:rsidR="00B95374" w:rsidRPr="00B95374">
        <w:rPr>
          <w:rFonts w:ascii="Arial" w:hAnsi="Arial" w:cs="Arial"/>
        </w:rPr>
        <w:t xml:space="preserve"> raise</w:t>
      </w:r>
      <w:r w:rsidR="00B95374">
        <w:rPr>
          <w:rFonts w:ascii="Arial" w:hAnsi="Arial" w:cs="Arial"/>
        </w:rPr>
        <w:t>d</w:t>
      </w:r>
      <w:r w:rsidR="00B95374" w:rsidRPr="00B95374">
        <w:rPr>
          <w:rFonts w:ascii="Arial" w:hAnsi="Arial" w:cs="Arial"/>
        </w:rPr>
        <w:t xml:space="preserve"> employment concerns which came about as a result of Adcock embarking on a restructuring exercise. In this exercise, Adcock identified a total number of 51 positions as being redundant. </w:t>
      </w:r>
      <w:r w:rsidR="00050558">
        <w:rPr>
          <w:rFonts w:ascii="Arial" w:hAnsi="Arial" w:cs="Arial"/>
        </w:rPr>
        <w:t xml:space="preserve">At the time </w:t>
      </w:r>
      <w:r w:rsidR="00B95374" w:rsidRPr="00B95374">
        <w:rPr>
          <w:rFonts w:ascii="Arial" w:hAnsi="Arial" w:cs="Arial"/>
        </w:rPr>
        <w:t xml:space="preserve">the </w:t>
      </w:r>
      <w:r w:rsidR="000155EA">
        <w:rPr>
          <w:rFonts w:ascii="Arial" w:hAnsi="Arial" w:cs="Arial"/>
        </w:rPr>
        <w:t xml:space="preserve">Competition </w:t>
      </w:r>
      <w:r w:rsidR="00B95374" w:rsidRPr="00B95374">
        <w:rPr>
          <w:rFonts w:ascii="Arial" w:hAnsi="Arial" w:cs="Arial"/>
        </w:rPr>
        <w:t>Commission</w:t>
      </w:r>
      <w:r w:rsidR="000155EA">
        <w:rPr>
          <w:rFonts w:ascii="Arial" w:hAnsi="Arial" w:cs="Arial"/>
        </w:rPr>
        <w:t>, which assesses</w:t>
      </w:r>
      <w:r w:rsidR="00B95374" w:rsidRPr="00B95374">
        <w:rPr>
          <w:rFonts w:ascii="Arial" w:hAnsi="Arial" w:cs="Arial"/>
        </w:rPr>
        <w:t xml:space="preserve"> </w:t>
      </w:r>
      <w:r w:rsidR="000155EA">
        <w:rPr>
          <w:rFonts w:ascii="Arial" w:hAnsi="Arial" w:cs="Arial"/>
        </w:rPr>
        <w:t xml:space="preserve">large mergers before referring them to the Tribunal for decision, </w:t>
      </w:r>
      <w:r w:rsidR="00B95374" w:rsidRPr="00B95374">
        <w:rPr>
          <w:rFonts w:ascii="Arial" w:hAnsi="Arial" w:cs="Arial"/>
        </w:rPr>
        <w:t xml:space="preserve">was satisfied that Adcock followed a rational and fair process in identifying the redundant positions, </w:t>
      </w:r>
      <w:r w:rsidR="00050558">
        <w:rPr>
          <w:rFonts w:ascii="Arial" w:hAnsi="Arial" w:cs="Arial"/>
        </w:rPr>
        <w:t xml:space="preserve">therefore it initially concluded that </w:t>
      </w:r>
      <w:r w:rsidR="00B95374" w:rsidRPr="00B95374">
        <w:rPr>
          <w:rFonts w:ascii="Arial" w:hAnsi="Arial" w:cs="Arial"/>
        </w:rPr>
        <w:t>a moratorium on the retrenchment of the 51 employees was not warranted.</w:t>
      </w:r>
    </w:p>
    <w:p w:rsidR="00B95374" w:rsidRPr="00B95374" w:rsidRDefault="00B95374" w:rsidP="00B95374">
      <w:pPr>
        <w:spacing w:after="0" w:line="240" w:lineRule="auto"/>
        <w:jc w:val="both"/>
        <w:rPr>
          <w:rFonts w:ascii="Arial" w:hAnsi="Arial" w:cs="Arial"/>
        </w:rPr>
      </w:pPr>
    </w:p>
    <w:p w:rsidR="00B95374" w:rsidRPr="00B95374" w:rsidRDefault="00050558" w:rsidP="00B95374">
      <w:pPr>
        <w:spacing w:after="0" w:line="240" w:lineRule="auto"/>
        <w:jc w:val="both"/>
        <w:rPr>
          <w:rFonts w:ascii="Arial" w:hAnsi="Arial" w:cs="Arial"/>
        </w:rPr>
      </w:pPr>
      <w:r>
        <w:rPr>
          <w:rFonts w:ascii="Arial" w:hAnsi="Arial" w:cs="Arial"/>
        </w:rPr>
        <w:t>However Bidvest later informed the</w:t>
      </w:r>
      <w:r w:rsidR="00B95374" w:rsidRPr="00B95374">
        <w:rPr>
          <w:rFonts w:ascii="Arial" w:hAnsi="Arial" w:cs="Arial"/>
        </w:rPr>
        <w:t xml:space="preserve"> Commission </w:t>
      </w:r>
      <w:r>
        <w:rPr>
          <w:rFonts w:ascii="Arial" w:hAnsi="Arial" w:cs="Arial"/>
        </w:rPr>
        <w:t>that it intended</w:t>
      </w:r>
      <w:r w:rsidR="00B95374" w:rsidRPr="00B95374">
        <w:rPr>
          <w:rFonts w:ascii="Arial" w:hAnsi="Arial" w:cs="Arial"/>
        </w:rPr>
        <w:t xml:space="preserve"> to implement a turnaround strategy upon completion of the </w:t>
      </w:r>
      <w:r>
        <w:rPr>
          <w:rFonts w:ascii="Arial" w:hAnsi="Arial" w:cs="Arial"/>
        </w:rPr>
        <w:t>merger</w:t>
      </w:r>
      <w:r w:rsidR="00B95374" w:rsidRPr="00B95374">
        <w:rPr>
          <w:rFonts w:ascii="Arial" w:hAnsi="Arial" w:cs="Arial"/>
        </w:rPr>
        <w:t xml:space="preserve"> that </w:t>
      </w:r>
      <w:r>
        <w:rPr>
          <w:rFonts w:ascii="Arial" w:hAnsi="Arial" w:cs="Arial"/>
        </w:rPr>
        <w:t xml:space="preserve">could </w:t>
      </w:r>
      <w:r w:rsidR="00B95374" w:rsidRPr="00B95374">
        <w:rPr>
          <w:rFonts w:ascii="Arial" w:hAnsi="Arial" w:cs="Arial"/>
        </w:rPr>
        <w:t>institute further retrenchments over and above the 51 positions. Consequently, the Commission saw the need to safeguard any further negativ</w:t>
      </w:r>
      <w:r w:rsidR="005E141F">
        <w:rPr>
          <w:rFonts w:ascii="Arial" w:hAnsi="Arial" w:cs="Arial"/>
        </w:rPr>
        <w:t>e effects on employment that would</w:t>
      </w:r>
      <w:r w:rsidR="000155EA">
        <w:rPr>
          <w:rFonts w:ascii="Arial" w:hAnsi="Arial" w:cs="Arial"/>
        </w:rPr>
        <w:t xml:space="preserve"> be introduced by Bidvest after the </w:t>
      </w:r>
      <w:r w:rsidR="00B95374" w:rsidRPr="00B95374">
        <w:rPr>
          <w:rFonts w:ascii="Arial" w:hAnsi="Arial" w:cs="Arial"/>
        </w:rPr>
        <w:t xml:space="preserve">merger. The Commission therefore </w:t>
      </w:r>
      <w:r w:rsidR="005E141F">
        <w:rPr>
          <w:rFonts w:ascii="Arial" w:hAnsi="Arial" w:cs="Arial"/>
        </w:rPr>
        <w:t>recommended that the Tribunal</w:t>
      </w:r>
      <w:r w:rsidR="00B95374" w:rsidRPr="00B95374">
        <w:rPr>
          <w:rFonts w:ascii="Arial" w:hAnsi="Arial" w:cs="Arial"/>
        </w:rPr>
        <w:t xml:space="preserve"> approve the proposed transaction subject to a condition</w:t>
      </w:r>
      <w:r w:rsidR="005E141F">
        <w:rPr>
          <w:rFonts w:ascii="Arial" w:hAnsi="Arial" w:cs="Arial"/>
        </w:rPr>
        <w:t xml:space="preserve"> that would</w:t>
      </w:r>
      <w:r w:rsidR="00B95374" w:rsidRPr="00B95374">
        <w:rPr>
          <w:rFonts w:ascii="Arial" w:hAnsi="Arial" w:cs="Arial"/>
        </w:rPr>
        <w:t xml:space="preserve"> limit the number of retrenchments at Adcock to only </w:t>
      </w:r>
      <w:r w:rsidR="00163589">
        <w:rPr>
          <w:rFonts w:ascii="Arial" w:hAnsi="Arial" w:cs="Arial"/>
        </w:rPr>
        <w:t xml:space="preserve">the </w:t>
      </w:r>
      <w:r w:rsidR="00B95374" w:rsidRPr="00B95374">
        <w:rPr>
          <w:rFonts w:ascii="Arial" w:hAnsi="Arial" w:cs="Arial"/>
        </w:rPr>
        <w:t>51 employees identified and</w:t>
      </w:r>
      <w:r w:rsidR="00342D34">
        <w:rPr>
          <w:rFonts w:ascii="Arial" w:hAnsi="Arial" w:cs="Arial"/>
        </w:rPr>
        <w:t xml:space="preserve"> that it impose a moratorium on “merger specific retrenchments”</w:t>
      </w:r>
      <w:r w:rsidR="00B95374" w:rsidRPr="00B95374">
        <w:rPr>
          <w:rFonts w:ascii="Arial" w:hAnsi="Arial" w:cs="Arial"/>
        </w:rPr>
        <w:t xml:space="preserve"> for a period of three years. This condition was opposed by the merging parties on the ground that</w:t>
      </w:r>
      <w:r w:rsidR="000155EA">
        <w:rPr>
          <w:rFonts w:ascii="Arial" w:hAnsi="Arial" w:cs="Arial"/>
        </w:rPr>
        <w:t xml:space="preserve"> the</w:t>
      </w:r>
      <w:r w:rsidR="00342D34">
        <w:rPr>
          <w:rFonts w:ascii="Arial" w:hAnsi="Arial" w:cs="Arial"/>
        </w:rPr>
        <w:t xml:space="preserve"> proposed </w:t>
      </w:r>
      <w:r w:rsidR="000155EA">
        <w:rPr>
          <w:rFonts w:ascii="Arial" w:hAnsi="Arial" w:cs="Arial"/>
        </w:rPr>
        <w:t>retrenchments we</w:t>
      </w:r>
      <w:r w:rsidR="00B95374" w:rsidRPr="00B95374">
        <w:rPr>
          <w:rFonts w:ascii="Arial" w:hAnsi="Arial" w:cs="Arial"/>
        </w:rPr>
        <w:t>re not merger-specific</w:t>
      </w:r>
      <w:r w:rsidR="005E141F">
        <w:rPr>
          <w:rFonts w:ascii="Arial" w:hAnsi="Arial" w:cs="Arial"/>
        </w:rPr>
        <w:t>, that is:</w:t>
      </w:r>
      <w:r w:rsidR="000155EA">
        <w:rPr>
          <w:rFonts w:ascii="Arial" w:hAnsi="Arial" w:cs="Arial"/>
        </w:rPr>
        <w:t xml:space="preserve"> that the retrenchments</w:t>
      </w:r>
      <w:r w:rsidR="005E141F">
        <w:rPr>
          <w:rFonts w:ascii="Arial" w:hAnsi="Arial" w:cs="Arial"/>
        </w:rPr>
        <w:t xml:space="preserve"> were not taking place as a result of the merger.</w:t>
      </w:r>
    </w:p>
    <w:p w:rsidR="00B95374" w:rsidRPr="00B95374" w:rsidRDefault="00B95374" w:rsidP="00B95374">
      <w:pPr>
        <w:pStyle w:val="ListParagraph"/>
        <w:spacing w:after="0" w:line="240" w:lineRule="auto"/>
        <w:rPr>
          <w:rFonts w:ascii="Arial" w:hAnsi="Arial" w:cs="Arial"/>
        </w:rPr>
      </w:pPr>
    </w:p>
    <w:p w:rsidR="00B95374" w:rsidRPr="00B95374" w:rsidRDefault="00B95374" w:rsidP="00B95374">
      <w:pPr>
        <w:spacing w:after="0" w:line="240" w:lineRule="auto"/>
        <w:jc w:val="both"/>
        <w:rPr>
          <w:rFonts w:ascii="Arial" w:hAnsi="Arial" w:cs="Arial"/>
          <w:color w:val="000000"/>
          <w:lang w:eastAsia="en-ZA"/>
        </w:rPr>
      </w:pPr>
      <w:r w:rsidRPr="00B95374">
        <w:rPr>
          <w:rFonts w:ascii="Arial" w:hAnsi="Arial" w:cs="Arial"/>
        </w:rPr>
        <w:t>After considering submissions from both the Commission and the merging parties,</w:t>
      </w:r>
      <w:r w:rsidR="005E141F">
        <w:rPr>
          <w:rFonts w:ascii="Arial" w:hAnsi="Arial" w:cs="Arial"/>
        </w:rPr>
        <w:t xml:space="preserve"> </w:t>
      </w:r>
      <w:r w:rsidR="00342D34">
        <w:rPr>
          <w:rFonts w:ascii="Arial" w:hAnsi="Arial" w:cs="Arial"/>
        </w:rPr>
        <w:t>and hearing evidence from Kevi</w:t>
      </w:r>
      <w:r w:rsidR="00163589">
        <w:rPr>
          <w:rFonts w:ascii="Arial" w:hAnsi="Arial" w:cs="Arial"/>
        </w:rPr>
        <w:t>n Wakeford the newly appointed c</w:t>
      </w:r>
      <w:r w:rsidR="00342D34">
        <w:rPr>
          <w:rFonts w:ascii="Arial" w:hAnsi="Arial" w:cs="Arial"/>
        </w:rPr>
        <w:t xml:space="preserve">hief executive officer of Adcock, </w:t>
      </w:r>
      <w:r w:rsidR="005E141F">
        <w:rPr>
          <w:rFonts w:ascii="Arial" w:hAnsi="Arial" w:cs="Arial"/>
        </w:rPr>
        <w:t>the Tribunal</w:t>
      </w:r>
      <w:r w:rsidRPr="00B95374">
        <w:rPr>
          <w:rFonts w:ascii="Arial" w:hAnsi="Arial" w:cs="Arial"/>
        </w:rPr>
        <w:t xml:space="preserve"> decided to approve the proposed transaction subject to the condition that Adcock will not retrench </w:t>
      </w:r>
      <w:r w:rsidRPr="00342D34">
        <w:rPr>
          <w:rFonts w:ascii="Arial" w:hAnsi="Arial" w:cs="Arial"/>
          <w:u w:val="single"/>
        </w:rPr>
        <w:t>any</w:t>
      </w:r>
      <w:r w:rsidRPr="00B95374">
        <w:rPr>
          <w:rFonts w:ascii="Arial" w:hAnsi="Arial" w:cs="Arial"/>
        </w:rPr>
        <w:t xml:space="preserve"> em</w:t>
      </w:r>
      <w:r w:rsidR="005E141F">
        <w:rPr>
          <w:rFonts w:ascii="Arial" w:hAnsi="Arial" w:cs="Arial"/>
        </w:rPr>
        <w:t xml:space="preserve">ployees for a period of one </w:t>
      </w:r>
      <w:r w:rsidRPr="00B95374">
        <w:rPr>
          <w:rFonts w:ascii="Arial" w:hAnsi="Arial" w:cs="Arial"/>
        </w:rPr>
        <w:t>year from date of approval of this transaction.</w:t>
      </w:r>
    </w:p>
    <w:p w:rsidR="00B95374" w:rsidRPr="00B95374" w:rsidRDefault="00B95374" w:rsidP="00B95374">
      <w:pPr>
        <w:spacing w:after="0" w:line="240" w:lineRule="auto"/>
        <w:jc w:val="both"/>
        <w:rPr>
          <w:rFonts w:ascii="Arial" w:hAnsi="Arial" w:cs="Arial"/>
          <w:color w:val="000000"/>
          <w:lang w:eastAsia="en-ZA"/>
        </w:rPr>
      </w:pPr>
    </w:p>
    <w:p w:rsidR="005E141F" w:rsidRDefault="005E141F"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t>Related to this issue, t</w:t>
      </w:r>
      <w:r w:rsidRPr="00B95374">
        <w:rPr>
          <w:rFonts w:ascii="Arial" w:hAnsi="Arial" w:cs="Arial"/>
          <w:color w:val="000000"/>
          <w:sz w:val="22"/>
          <w:szCs w:val="22"/>
          <w:lang w:val="en"/>
        </w:rPr>
        <w:t>he Commission also alleged that Bidvest had already acquired control over Adcock before filing this merger with the Commission for assessment. In terms of the Competition Act it is a</w:t>
      </w:r>
      <w:r w:rsidR="00342D34">
        <w:rPr>
          <w:rFonts w:ascii="Arial" w:hAnsi="Arial" w:cs="Arial"/>
          <w:color w:val="000000"/>
          <w:sz w:val="22"/>
          <w:szCs w:val="22"/>
          <w:lang w:val="en"/>
        </w:rPr>
        <w:t xml:space="preserve"> contravention of the merger provisions</w:t>
      </w:r>
      <w:r w:rsidRPr="00B95374">
        <w:rPr>
          <w:rFonts w:ascii="Arial" w:hAnsi="Arial" w:cs="Arial"/>
          <w:color w:val="000000"/>
          <w:sz w:val="22"/>
          <w:szCs w:val="22"/>
          <w:lang w:val="en"/>
        </w:rPr>
        <w:t xml:space="preserve"> to implement a large merger before getting the required approval from the Tribunal. However, the merging firms denied this allegation saying the take-over would only occur once it was approved by the Tribunal and once Bidvest acquired further shares in Adcock beyond the 34.5% it alread</w:t>
      </w:r>
      <w:r>
        <w:rPr>
          <w:rFonts w:ascii="Arial" w:hAnsi="Arial" w:cs="Arial"/>
          <w:color w:val="000000"/>
          <w:sz w:val="22"/>
          <w:szCs w:val="22"/>
          <w:lang w:val="en"/>
        </w:rPr>
        <w:t>y had at the time it filed the merger</w:t>
      </w:r>
      <w:r w:rsidRPr="00B95374">
        <w:rPr>
          <w:rFonts w:ascii="Arial" w:hAnsi="Arial" w:cs="Arial"/>
          <w:color w:val="000000"/>
          <w:sz w:val="22"/>
          <w:szCs w:val="22"/>
          <w:lang w:val="en"/>
        </w:rPr>
        <w:t>.</w:t>
      </w:r>
    </w:p>
    <w:p w:rsidR="005E141F" w:rsidRPr="00B95374" w:rsidRDefault="005E141F" w:rsidP="005E141F">
      <w:pPr>
        <w:pStyle w:val="ecxmsolistparagraph"/>
        <w:spacing w:after="0"/>
        <w:jc w:val="both"/>
        <w:rPr>
          <w:rFonts w:ascii="Arial" w:hAnsi="Arial" w:cs="Arial"/>
          <w:color w:val="000000"/>
          <w:sz w:val="22"/>
          <w:szCs w:val="22"/>
          <w:lang w:val="en"/>
        </w:rPr>
      </w:pPr>
    </w:p>
    <w:p w:rsidR="00342D34" w:rsidRDefault="005E141F"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lastRenderedPageBreak/>
        <w:t>The Commission indicated during the hearing that it would be investigating a separate case of prior implementation of a merger, in contravention of the Competition Act. For this reason t</w:t>
      </w:r>
      <w:r w:rsidRPr="00B95374">
        <w:rPr>
          <w:rFonts w:ascii="Arial" w:hAnsi="Arial" w:cs="Arial"/>
          <w:color w:val="000000"/>
          <w:sz w:val="22"/>
          <w:szCs w:val="22"/>
          <w:lang w:val="en"/>
        </w:rPr>
        <w:t xml:space="preserve">he Tribunal did not </w:t>
      </w:r>
      <w:r>
        <w:rPr>
          <w:rFonts w:ascii="Arial" w:hAnsi="Arial" w:cs="Arial"/>
          <w:color w:val="000000"/>
          <w:sz w:val="22"/>
          <w:szCs w:val="22"/>
          <w:lang w:val="en"/>
        </w:rPr>
        <w:t xml:space="preserve">need to </w:t>
      </w:r>
      <w:r w:rsidRPr="00B95374">
        <w:rPr>
          <w:rFonts w:ascii="Arial" w:hAnsi="Arial" w:cs="Arial"/>
          <w:color w:val="000000"/>
          <w:sz w:val="22"/>
          <w:szCs w:val="22"/>
          <w:lang w:val="en"/>
        </w:rPr>
        <w:t>make a finding on this issue</w:t>
      </w:r>
      <w:r w:rsidR="00342D34">
        <w:rPr>
          <w:rFonts w:ascii="Arial" w:hAnsi="Arial" w:cs="Arial"/>
          <w:color w:val="000000"/>
          <w:sz w:val="22"/>
          <w:szCs w:val="22"/>
          <w:lang w:val="en"/>
        </w:rPr>
        <w:t>.</w:t>
      </w:r>
    </w:p>
    <w:p w:rsidR="00342D34" w:rsidRDefault="00342D34" w:rsidP="005E141F">
      <w:pPr>
        <w:pStyle w:val="ecxmsolistparagraph"/>
        <w:spacing w:after="0"/>
        <w:jc w:val="both"/>
        <w:rPr>
          <w:rFonts w:ascii="Arial" w:hAnsi="Arial" w:cs="Arial"/>
          <w:color w:val="000000"/>
          <w:sz w:val="22"/>
          <w:szCs w:val="22"/>
          <w:lang w:val="en"/>
        </w:rPr>
      </w:pPr>
    </w:p>
    <w:p w:rsidR="005E141F" w:rsidRDefault="00342D34"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t xml:space="preserve">What the Tribunal did need to make a finding on, was whether Bidvest had acquired material influence over Adcock, as that was relevant to its analysis about whether the proposed retrenchments were merger specific as opposed to operational. After examining the facts the Tribunal </w:t>
      </w:r>
      <w:r w:rsidR="005E141F" w:rsidRPr="00B95374">
        <w:rPr>
          <w:rFonts w:ascii="Arial" w:hAnsi="Arial" w:cs="Arial"/>
          <w:color w:val="000000"/>
          <w:sz w:val="22"/>
          <w:szCs w:val="22"/>
          <w:lang w:val="en"/>
        </w:rPr>
        <w:t>concluded that Bidvest had at least acquired material influence over Adcock before filing the transaction with the Commission.</w:t>
      </w:r>
      <w:r>
        <w:rPr>
          <w:rFonts w:ascii="Arial" w:hAnsi="Arial" w:cs="Arial"/>
          <w:color w:val="000000"/>
          <w:sz w:val="22"/>
          <w:szCs w:val="22"/>
          <w:lang w:val="en"/>
        </w:rPr>
        <w:t xml:space="preserve"> It therefore con</w:t>
      </w:r>
      <w:r w:rsidR="00163589">
        <w:rPr>
          <w:rFonts w:ascii="Arial" w:hAnsi="Arial" w:cs="Arial"/>
          <w:color w:val="000000"/>
          <w:sz w:val="22"/>
          <w:szCs w:val="22"/>
          <w:lang w:val="en"/>
        </w:rPr>
        <w:t>cluded that the proposed retrenchments</w:t>
      </w:r>
      <w:r>
        <w:rPr>
          <w:rFonts w:ascii="Arial" w:hAnsi="Arial" w:cs="Arial"/>
          <w:color w:val="000000"/>
          <w:sz w:val="22"/>
          <w:szCs w:val="22"/>
          <w:lang w:val="en"/>
        </w:rPr>
        <w:t xml:space="preserve"> were merger specific. It then examined whether being merger specific they had been justified. The Tribunal concluded that because there had not been adequate consultation with the</w:t>
      </w:r>
      <w:r w:rsidR="00D646EF">
        <w:rPr>
          <w:rFonts w:ascii="Arial" w:hAnsi="Arial" w:cs="Arial"/>
          <w:color w:val="000000"/>
          <w:sz w:val="22"/>
          <w:szCs w:val="22"/>
          <w:lang w:val="en"/>
        </w:rPr>
        <w:t xml:space="preserve"> Commission and the representative trade u</w:t>
      </w:r>
      <w:r>
        <w:rPr>
          <w:rFonts w:ascii="Arial" w:hAnsi="Arial" w:cs="Arial"/>
          <w:color w:val="000000"/>
          <w:sz w:val="22"/>
          <w:szCs w:val="22"/>
          <w:lang w:val="en"/>
        </w:rPr>
        <w:t>nion involved</w:t>
      </w:r>
      <w:r w:rsidR="00D646EF">
        <w:rPr>
          <w:rFonts w:ascii="Arial" w:hAnsi="Arial" w:cs="Arial"/>
          <w:color w:val="000000"/>
          <w:sz w:val="22"/>
          <w:szCs w:val="22"/>
          <w:lang w:val="en"/>
        </w:rPr>
        <w:t>,</w:t>
      </w:r>
      <w:r>
        <w:rPr>
          <w:rFonts w:ascii="Arial" w:hAnsi="Arial" w:cs="Arial"/>
          <w:color w:val="000000"/>
          <w:sz w:val="22"/>
          <w:szCs w:val="22"/>
          <w:lang w:val="en"/>
        </w:rPr>
        <w:t xml:space="preserve"> the retrenchments could not be said to have been justified</w:t>
      </w:r>
      <w:r w:rsidR="00D646EF">
        <w:rPr>
          <w:rFonts w:ascii="Arial" w:hAnsi="Arial" w:cs="Arial"/>
          <w:color w:val="000000"/>
          <w:sz w:val="22"/>
          <w:szCs w:val="22"/>
          <w:lang w:val="en"/>
        </w:rPr>
        <w:t>,</w:t>
      </w:r>
      <w:r>
        <w:rPr>
          <w:rFonts w:ascii="Arial" w:hAnsi="Arial" w:cs="Arial"/>
          <w:color w:val="000000"/>
          <w:sz w:val="22"/>
          <w:szCs w:val="22"/>
          <w:lang w:val="en"/>
        </w:rPr>
        <w:t xml:space="preserve"> because justification must be based on a proper consultation process.</w:t>
      </w:r>
    </w:p>
    <w:p w:rsidR="00342D34" w:rsidRDefault="00342D34" w:rsidP="005E141F">
      <w:pPr>
        <w:pStyle w:val="ecxmsolistparagraph"/>
        <w:spacing w:after="0"/>
        <w:jc w:val="both"/>
        <w:rPr>
          <w:rFonts w:ascii="Arial" w:hAnsi="Arial" w:cs="Arial"/>
          <w:color w:val="000000"/>
          <w:sz w:val="22"/>
          <w:szCs w:val="22"/>
          <w:lang w:val="en"/>
        </w:rPr>
      </w:pPr>
    </w:p>
    <w:p w:rsidR="00342D34" w:rsidRDefault="00342D34"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t>For this reason the Tribunal decided to impose the remedy it did. Note that the Tribunal remedy differs from that of the Commission in that it applies to all retrenchments not just merger specific ones and in this sense is wider in scope.  The Tribunal explained that because of the possible prior implementation the distinction between merger specific and operational retrenchments had become blurred and that the Commission remedy would have led to future uncertainty and dispute. However whilst the Commission’s proposed moratorium would have applied for three years</w:t>
      </w:r>
      <w:r w:rsidR="00D646EF">
        <w:rPr>
          <w:rFonts w:ascii="Arial" w:hAnsi="Arial" w:cs="Arial"/>
          <w:color w:val="000000"/>
          <w:sz w:val="22"/>
          <w:szCs w:val="22"/>
          <w:lang w:val="en"/>
        </w:rPr>
        <w:t>,</w:t>
      </w:r>
      <w:r>
        <w:rPr>
          <w:rFonts w:ascii="Arial" w:hAnsi="Arial" w:cs="Arial"/>
          <w:color w:val="000000"/>
          <w:sz w:val="22"/>
          <w:szCs w:val="22"/>
          <w:lang w:val="en"/>
        </w:rPr>
        <w:t xml:space="preserve"> the Tribunal felt that a period of only one year was justified. </w:t>
      </w:r>
    </w:p>
    <w:p w:rsidR="00D646EF" w:rsidRDefault="00D646EF" w:rsidP="005E141F">
      <w:pPr>
        <w:pStyle w:val="ecxmsolistparagraph"/>
        <w:spacing w:after="0"/>
        <w:jc w:val="both"/>
        <w:rPr>
          <w:rFonts w:ascii="Arial" w:hAnsi="Arial" w:cs="Arial"/>
          <w:color w:val="000000"/>
          <w:sz w:val="22"/>
          <w:szCs w:val="22"/>
          <w:lang w:val="en"/>
        </w:rPr>
      </w:pPr>
    </w:p>
    <w:p w:rsidR="00D646EF" w:rsidRDefault="00D646EF"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t xml:space="preserve">Despite the moratorium the </w:t>
      </w:r>
      <w:r w:rsidR="00163589">
        <w:rPr>
          <w:rFonts w:ascii="Arial" w:hAnsi="Arial" w:cs="Arial"/>
          <w:color w:val="000000"/>
          <w:sz w:val="22"/>
          <w:szCs w:val="22"/>
          <w:lang w:val="en"/>
        </w:rPr>
        <w:t xml:space="preserve">Tribunal’s </w:t>
      </w:r>
      <w:bookmarkStart w:id="0" w:name="_GoBack"/>
      <w:bookmarkEnd w:id="0"/>
      <w:r>
        <w:rPr>
          <w:rFonts w:ascii="Arial" w:hAnsi="Arial" w:cs="Arial"/>
          <w:color w:val="000000"/>
          <w:sz w:val="22"/>
          <w:szCs w:val="22"/>
          <w:lang w:val="en"/>
        </w:rPr>
        <w:t>order makes it clear that the firm may still embark on voluntary retrenchments nor does it apply to employees at Adcock facilities outside of South Africa who are not subject to the Tribunal’s jurisdiction</w:t>
      </w:r>
      <w:r w:rsidR="00163589">
        <w:rPr>
          <w:rFonts w:ascii="Arial" w:hAnsi="Arial" w:cs="Arial"/>
          <w:color w:val="000000"/>
          <w:sz w:val="22"/>
          <w:szCs w:val="22"/>
          <w:lang w:val="en"/>
        </w:rPr>
        <w:t>.</w:t>
      </w:r>
    </w:p>
    <w:p w:rsidR="005E141F" w:rsidRDefault="005E141F" w:rsidP="005E141F">
      <w:pPr>
        <w:pStyle w:val="ecxmsolistparagraph"/>
        <w:spacing w:after="0"/>
        <w:jc w:val="both"/>
        <w:rPr>
          <w:rFonts w:ascii="Arial" w:hAnsi="Arial" w:cs="Arial"/>
          <w:color w:val="000000"/>
          <w:sz w:val="22"/>
          <w:szCs w:val="22"/>
          <w:lang w:val="en"/>
        </w:rPr>
      </w:pPr>
    </w:p>
    <w:p w:rsidR="005E141F" w:rsidRPr="00B95374" w:rsidRDefault="005E141F" w:rsidP="005E141F">
      <w:pPr>
        <w:pStyle w:val="ecxmsolistparagraph"/>
        <w:spacing w:after="0"/>
        <w:jc w:val="both"/>
        <w:rPr>
          <w:rFonts w:ascii="Arial" w:hAnsi="Arial" w:cs="Arial"/>
          <w:color w:val="000000"/>
          <w:sz w:val="22"/>
          <w:szCs w:val="22"/>
          <w:lang w:val="en"/>
        </w:rPr>
      </w:pPr>
      <w:r>
        <w:rPr>
          <w:rFonts w:ascii="Arial" w:hAnsi="Arial" w:cs="Arial"/>
          <w:color w:val="000000"/>
          <w:sz w:val="22"/>
          <w:szCs w:val="22"/>
          <w:lang w:val="en"/>
        </w:rPr>
        <w:t xml:space="preserve">The non-confidential version of the Tribunal’s reasons will be available </w:t>
      </w:r>
      <w:r w:rsidR="000155EA">
        <w:rPr>
          <w:rFonts w:ascii="Arial" w:hAnsi="Arial" w:cs="Arial"/>
          <w:color w:val="000000"/>
          <w:sz w:val="22"/>
          <w:szCs w:val="22"/>
          <w:lang w:val="en"/>
        </w:rPr>
        <w:t>on the Tribunal’s website (</w:t>
      </w:r>
      <w:hyperlink r:id="rId8" w:history="1">
        <w:r w:rsidR="000155EA" w:rsidRPr="00992EE4">
          <w:rPr>
            <w:rStyle w:val="Hyperlink"/>
            <w:rFonts w:ascii="Arial" w:hAnsi="Arial" w:cs="Arial"/>
            <w:sz w:val="22"/>
            <w:szCs w:val="22"/>
            <w:lang w:val="en"/>
          </w:rPr>
          <w:t>www.comptrib.co.za</w:t>
        </w:r>
      </w:hyperlink>
      <w:r w:rsidR="000155EA">
        <w:rPr>
          <w:rFonts w:ascii="Arial" w:hAnsi="Arial" w:cs="Arial"/>
          <w:color w:val="000000"/>
          <w:sz w:val="22"/>
          <w:szCs w:val="22"/>
          <w:lang w:val="en"/>
        </w:rPr>
        <w:t>) once the merging parties have confirmed that the Tribunal’s judgment does not contain any information which they have claimed as confidential.</w:t>
      </w:r>
    </w:p>
    <w:p w:rsidR="000F55CB" w:rsidRPr="00B95374" w:rsidRDefault="000F55CB" w:rsidP="00B95374">
      <w:pPr>
        <w:spacing w:after="0" w:line="240" w:lineRule="auto"/>
        <w:jc w:val="both"/>
        <w:rPr>
          <w:rFonts w:ascii="Arial" w:hAnsi="Arial" w:cs="Arial"/>
          <w:color w:val="000000"/>
          <w:lang w:eastAsia="en-ZA"/>
        </w:rPr>
      </w:pP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Issued By: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Nandi Mokoena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Communications: Competition Tribunal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Cell: +27 (0) 82 399 1328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E-mail: </w:t>
      </w:r>
      <w:hyperlink r:id="rId9" w:history="1">
        <w:r w:rsidRPr="00B95374">
          <w:rPr>
            <w:rFonts w:ascii="Arial" w:hAnsi="Arial" w:cs="Arial"/>
            <w:color w:val="0000FF"/>
            <w:u w:val="single"/>
            <w:lang w:eastAsia="en-ZA"/>
          </w:rPr>
          <w:t>NandisileM@live.co.za</w:t>
        </w:r>
      </w:hyperlink>
      <w:r w:rsidRPr="00B95374">
        <w:rPr>
          <w:rFonts w:ascii="Arial" w:hAnsi="Arial" w:cs="Arial"/>
        </w:rPr>
        <w:t xml:space="preserve"> or </w:t>
      </w:r>
      <w:hyperlink r:id="rId10" w:history="1">
        <w:r w:rsidRPr="00B95374">
          <w:rPr>
            <w:rStyle w:val="Hyperlink"/>
            <w:rFonts w:ascii="Arial" w:hAnsi="Arial" w:cs="Arial"/>
          </w:rPr>
          <w:t>NandiM@comptrib.co.za</w:t>
        </w:r>
      </w:hyperlink>
      <w:r w:rsidRPr="00B95374">
        <w:rPr>
          <w:rFonts w:ascii="Arial" w:hAnsi="Arial" w:cs="Arial"/>
        </w:rPr>
        <w:t xml:space="preserve"> </w:t>
      </w:r>
    </w:p>
    <w:p w:rsidR="007177AA" w:rsidRPr="00B95374" w:rsidRDefault="007177AA" w:rsidP="00B95374">
      <w:pPr>
        <w:spacing w:after="0" w:line="240" w:lineRule="auto"/>
        <w:jc w:val="both"/>
        <w:rPr>
          <w:rFonts w:ascii="Arial" w:hAnsi="Arial" w:cs="Arial"/>
          <w:color w:val="000000"/>
          <w:lang w:eastAsia="en-ZA"/>
        </w:rPr>
      </w:pP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On Behalf Of:</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Lerato Motaung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Registrar: Competition Tribunal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Tel: (012) 394 3355                                              </w:t>
      </w:r>
    </w:p>
    <w:p w:rsidR="007177AA" w:rsidRPr="00B95374" w:rsidRDefault="007177AA" w:rsidP="00B95374">
      <w:pPr>
        <w:spacing w:after="0" w:line="240" w:lineRule="auto"/>
        <w:jc w:val="both"/>
        <w:rPr>
          <w:rFonts w:ascii="Arial" w:hAnsi="Arial" w:cs="Arial"/>
          <w:lang w:eastAsia="en-ZA"/>
        </w:rPr>
      </w:pPr>
      <w:r w:rsidRPr="00B95374">
        <w:rPr>
          <w:rFonts w:ascii="Arial" w:hAnsi="Arial" w:cs="Arial"/>
          <w:color w:val="000000"/>
          <w:lang w:eastAsia="en-ZA"/>
        </w:rPr>
        <w:t xml:space="preserve">Cell: +27 (0) 82 556 3221                                               </w:t>
      </w:r>
    </w:p>
    <w:p w:rsidR="007177AA" w:rsidRPr="00B95374" w:rsidRDefault="007177AA" w:rsidP="00B95374">
      <w:pPr>
        <w:spacing w:after="0" w:line="240" w:lineRule="auto"/>
        <w:jc w:val="both"/>
        <w:rPr>
          <w:rFonts w:ascii="Arial" w:hAnsi="Arial" w:cs="Arial"/>
        </w:rPr>
      </w:pPr>
      <w:r w:rsidRPr="00B95374">
        <w:rPr>
          <w:rFonts w:ascii="Arial" w:hAnsi="Arial" w:cs="Arial"/>
          <w:color w:val="000000"/>
          <w:lang w:eastAsia="en-ZA"/>
        </w:rPr>
        <w:t xml:space="preserve">E-Mail: </w:t>
      </w:r>
      <w:hyperlink r:id="rId11" w:history="1">
        <w:r w:rsidRPr="00B95374">
          <w:rPr>
            <w:rFonts w:ascii="Arial" w:hAnsi="Arial" w:cs="Arial"/>
            <w:color w:val="0000FF"/>
            <w:u w:val="single"/>
            <w:lang w:eastAsia="en-ZA"/>
          </w:rPr>
          <w:t>LeratoM@comptrib.co.za</w:t>
        </w:r>
      </w:hyperlink>
      <w:r w:rsidRPr="00B95374">
        <w:rPr>
          <w:rFonts w:ascii="Arial" w:hAnsi="Arial" w:cs="Arial"/>
          <w:color w:val="000000"/>
          <w:lang w:eastAsia="en-ZA"/>
        </w:rPr>
        <w:t xml:space="preserve"> </w:t>
      </w:r>
    </w:p>
    <w:p w:rsidR="007177AA" w:rsidRPr="00B95374" w:rsidRDefault="007177AA" w:rsidP="00B95374">
      <w:pPr>
        <w:spacing w:after="0" w:line="240" w:lineRule="auto"/>
        <w:jc w:val="both"/>
        <w:rPr>
          <w:rFonts w:ascii="Arial" w:hAnsi="Arial" w:cs="Arial"/>
        </w:rPr>
      </w:pPr>
    </w:p>
    <w:sectPr w:rsidR="007177AA" w:rsidRPr="00B95374" w:rsidSect="0089317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B1A" w:rsidRDefault="00434B1A" w:rsidP="007177AA">
      <w:pPr>
        <w:spacing w:after="0" w:line="240" w:lineRule="auto"/>
      </w:pPr>
      <w:r>
        <w:separator/>
      </w:r>
    </w:p>
  </w:endnote>
  <w:endnote w:type="continuationSeparator" w:id="0">
    <w:p w:rsidR="00434B1A" w:rsidRDefault="00434B1A" w:rsidP="0071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B1A" w:rsidRDefault="00434B1A" w:rsidP="007177AA">
      <w:pPr>
        <w:spacing w:after="0" w:line="240" w:lineRule="auto"/>
      </w:pPr>
      <w:r>
        <w:separator/>
      </w:r>
    </w:p>
  </w:footnote>
  <w:footnote w:type="continuationSeparator" w:id="0">
    <w:p w:rsidR="00434B1A" w:rsidRDefault="00434B1A" w:rsidP="00717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B4C"/>
    <w:multiLevelType w:val="hybridMultilevel"/>
    <w:tmpl w:val="A32A05EA"/>
    <w:lvl w:ilvl="0" w:tplc="BA26BE66">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2B0829"/>
    <w:multiLevelType w:val="hybridMultilevel"/>
    <w:tmpl w:val="7368E7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0CD777D"/>
    <w:multiLevelType w:val="hybridMultilevel"/>
    <w:tmpl w:val="73228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46F725A"/>
    <w:multiLevelType w:val="hybridMultilevel"/>
    <w:tmpl w:val="5C1278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70657D5"/>
    <w:multiLevelType w:val="multilevel"/>
    <w:tmpl w:val="BD7CF1B8"/>
    <w:lvl w:ilvl="0">
      <w:start w:val="1"/>
      <w:numFmt w:val="decimal"/>
      <w:lvlText w:val="%1."/>
      <w:lvlJc w:val="left"/>
      <w:pPr>
        <w:ind w:left="360" w:hanging="360"/>
      </w:pPr>
      <w:rPr>
        <w:rFonts w:hint="default"/>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4A2DB0"/>
    <w:multiLevelType w:val="hybridMultilevel"/>
    <w:tmpl w:val="F3640906"/>
    <w:lvl w:ilvl="0" w:tplc="A5D8B78C">
      <w:start w:val="1"/>
      <w:numFmt w:val="decimal"/>
      <w:lvlText w:val="%1."/>
      <w:lvlJc w:val="left"/>
      <w:pPr>
        <w:ind w:left="360" w:hanging="360"/>
      </w:pPr>
      <w:rPr>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D9154DB"/>
    <w:multiLevelType w:val="hybridMultilevel"/>
    <w:tmpl w:val="CE7634FE"/>
    <w:lvl w:ilvl="0" w:tplc="6CD0F79A">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91A5C1E"/>
    <w:multiLevelType w:val="hybridMultilevel"/>
    <w:tmpl w:val="877E82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31842D8"/>
    <w:multiLevelType w:val="hybridMultilevel"/>
    <w:tmpl w:val="5128E5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994763B"/>
    <w:multiLevelType w:val="hybridMultilevel"/>
    <w:tmpl w:val="0E24C1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7"/>
  </w:num>
  <w:num w:numId="5">
    <w:abstractNumId w:val="2"/>
  </w:num>
  <w:num w:numId="6">
    <w:abstractNumId w:val="6"/>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DC"/>
    <w:rsid w:val="000059D6"/>
    <w:rsid w:val="0001028B"/>
    <w:rsid w:val="000155EA"/>
    <w:rsid w:val="00023274"/>
    <w:rsid w:val="00046AF7"/>
    <w:rsid w:val="00050558"/>
    <w:rsid w:val="000506CC"/>
    <w:rsid w:val="000636B4"/>
    <w:rsid w:val="00075356"/>
    <w:rsid w:val="00090161"/>
    <w:rsid w:val="000913FD"/>
    <w:rsid w:val="000928D2"/>
    <w:rsid w:val="000A291A"/>
    <w:rsid w:val="000B289D"/>
    <w:rsid w:val="000B30EF"/>
    <w:rsid w:val="000B35BA"/>
    <w:rsid w:val="000B5295"/>
    <w:rsid w:val="000C2884"/>
    <w:rsid w:val="000C4DB8"/>
    <w:rsid w:val="000C55DD"/>
    <w:rsid w:val="000D2C1E"/>
    <w:rsid w:val="000E4AF7"/>
    <w:rsid w:val="000F022A"/>
    <w:rsid w:val="000F158C"/>
    <w:rsid w:val="000F55CB"/>
    <w:rsid w:val="00103594"/>
    <w:rsid w:val="001056D9"/>
    <w:rsid w:val="00114AB6"/>
    <w:rsid w:val="0012551E"/>
    <w:rsid w:val="00127E13"/>
    <w:rsid w:val="0013001B"/>
    <w:rsid w:val="00130F5B"/>
    <w:rsid w:val="00133CBB"/>
    <w:rsid w:val="001456A1"/>
    <w:rsid w:val="00154F20"/>
    <w:rsid w:val="00155A5D"/>
    <w:rsid w:val="00163589"/>
    <w:rsid w:val="0016697E"/>
    <w:rsid w:val="00172D9A"/>
    <w:rsid w:val="001829A8"/>
    <w:rsid w:val="001A641F"/>
    <w:rsid w:val="001B02A1"/>
    <w:rsid w:val="001C2D73"/>
    <w:rsid w:val="001C7CBA"/>
    <w:rsid w:val="001D51C5"/>
    <w:rsid w:val="001E128F"/>
    <w:rsid w:val="001E1B91"/>
    <w:rsid w:val="001E5AA7"/>
    <w:rsid w:val="001E7C7B"/>
    <w:rsid w:val="001F5463"/>
    <w:rsid w:val="001F5889"/>
    <w:rsid w:val="00213D98"/>
    <w:rsid w:val="002172C8"/>
    <w:rsid w:val="00225963"/>
    <w:rsid w:val="00255E37"/>
    <w:rsid w:val="00262335"/>
    <w:rsid w:val="00264B69"/>
    <w:rsid w:val="00265844"/>
    <w:rsid w:val="002731A2"/>
    <w:rsid w:val="00276382"/>
    <w:rsid w:val="002811DA"/>
    <w:rsid w:val="002861A9"/>
    <w:rsid w:val="00286E0E"/>
    <w:rsid w:val="00291B77"/>
    <w:rsid w:val="0029222B"/>
    <w:rsid w:val="00294520"/>
    <w:rsid w:val="00295AFA"/>
    <w:rsid w:val="002B78BF"/>
    <w:rsid w:val="002D15BA"/>
    <w:rsid w:val="002D580A"/>
    <w:rsid w:val="002E21AF"/>
    <w:rsid w:val="00303CA5"/>
    <w:rsid w:val="0030789B"/>
    <w:rsid w:val="0031750A"/>
    <w:rsid w:val="00342D34"/>
    <w:rsid w:val="00342E08"/>
    <w:rsid w:val="0036228F"/>
    <w:rsid w:val="00364520"/>
    <w:rsid w:val="00371E37"/>
    <w:rsid w:val="00386C55"/>
    <w:rsid w:val="00386C81"/>
    <w:rsid w:val="003902E2"/>
    <w:rsid w:val="003923FB"/>
    <w:rsid w:val="003A783F"/>
    <w:rsid w:val="003B6515"/>
    <w:rsid w:val="003C010B"/>
    <w:rsid w:val="003C050B"/>
    <w:rsid w:val="003C5766"/>
    <w:rsid w:val="003D0981"/>
    <w:rsid w:val="003D0CEE"/>
    <w:rsid w:val="003D4BE4"/>
    <w:rsid w:val="003E2ACB"/>
    <w:rsid w:val="00410618"/>
    <w:rsid w:val="00426D9E"/>
    <w:rsid w:val="0043143E"/>
    <w:rsid w:val="00434B1A"/>
    <w:rsid w:val="0043790E"/>
    <w:rsid w:val="00437C86"/>
    <w:rsid w:val="004412D6"/>
    <w:rsid w:val="0044296D"/>
    <w:rsid w:val="004433DA"/>
    <w:rsid w:val="0044473E"/>
    <w:rsid w:val="004545C8"/>
    <w:rsid w:val="00463365"/>
    <w:rsid w:val="0046673D"/>
    <w:rsid w:val="0048289F"/>
    <w:rsid w:val="004961D2"/>
    <w:rsid w:val="004B6BEA"/>
    <w:rsid w:val="004C08AE"/>
    <w:rsid w:val="004D543A"/>
    <w:rsid w:val="004E2D8B"/>
    <w:rsid w:val="004F5227"/>
    <w:rsid w:val="00504CE8"/>
    <w:rsid w:val="00510AF3"/>
    <w:rsid w:val="00510B90"/>
    <w:rsid w:val="00522288"/>
    <w:rsid w:val="00524692"/>
    <w:rsid w:val="00524C99"/>
    <w:rsid w:val="0053102E"/>
    <w:rsid w:val="0053467B"/>
    <w:rsid w:val="00534F5A"/>
    <w:rsid w:val="00540E4D"/>
    <w:rsid w:val="005440A7"/>
    <w:rsid w:val="00570DD0"/>
    <w:rsid w:val="0058394B"/>
    <w:rsid w:val="005919E5"/>
    <w:rsid w:val="005930DB"/>
    <w:rsid w:val="00594B2B"/>
    <w:rsid w:val="005A72EF"/>
    <w:rsid w:val="005D055B"/>
    <w:rsid w:val="005D081D"/>
    <w:rsid w:val="005D4AB2"/>
    <w:rsid w:val="005E141F"/>
    <w:rsid w:val="005E463B"/>
    <w:rsid w:val="005E6339"/>
    <w:rsid w:val="005F576B"/>
    <w:rsid w:val="005F6366"/>
    <w:rsid w:val="005F74D6"/>
    <w:rsid w:val="00627FF6"/>
    <w:rsid w:val="00632009"/>
    <w:rsid w:val="00634EC5"/>
    <w:rsid w:val="00636B31"/>
    <w:rsid w:val="00636F42"/>
    <w:rsid w:val="006503CF"/>
    <w:rsid w:val="006505AD"/>
    <w:rsid w:val="00654F45"/>
    <w:rsid w:val="006638B8"/>
    <w:rsid w:val="006654CA"/>
    <w:rsid w:val="00672EDA"/>
    <w:rsid w:val="00675650"/>
    <w:rsid w:val="00692303"/>
    <w:rsid w:val="006A12CB"/>
    <w:rsid w:val="006A341D"/>
    <w:rsid w:val="006A4AB5"/>
    <w:rsid w:val="006A5726"/>
    <w:rsid w:val="006C30A5"/>
    <w:rsid w:val="006C62AA"/>
    <w:rsid w:val="006D3406"/>
    <w:rsid w:val="006E0492"/>
    <w:rsid w:val="006E0E66"/>
    <w:rsid w:val="006E5FBF"/>
    <w:rsid w:val="006E684E"/>
    <w:rsid w:val="006F2FFE"/>
    <w:rsid w:val="00703819"/>
    <w:rsid w:val="0071243B"/>
    <w:rsid w:val="007177AA"/>
    <w:rsid w:val="0072719C"/>
    <w:rsid w:val="00737632"/>
    <w:rsid w:val="00741C55"/>
    <w:rsid w:val="007461F2"/>
    <w:rsid w:val="00756668"/>
    <w:rsid w:val="007613ED"/>
    <w:rsid w:val="007755D4"/>
    <w:rsid w:val="007909C3"/>
    <w:rsid w:val="007A4F98"/>
    <w:rsid w:val="007B343F"/>
    <w:rsid w:val="007B4BC5"/>
    <w:rsid w:val="007C2420"/>
    <w:rsid w:val="007C4C87"/>
    <w:rsid w:val="007D293E"/>
    <w:rsid w:val="007E0096"/>
    <w:rsid w:val="007F0270"/>
    <w:rsid w:val="007F4865"/>
    <w:rsid w:val="007F7038"/>
    <w:rsid w:val="008161D1"/>
    <w:rsid w:val="008172E2"/>
    <w:rsid w:val="008322FA"/>
    <w:rsid w:val="00835F19"/>
    <w:rsid w:val="00843376"/>
    <w:rsid w:val="0084555B"/>
    <w:rsid w:val="0085621E"/>
    <w:rsid w:val="00886970"/>
    <w:rsid w:val="00893172"/>
    <w:rsid w:val="008939C6"/>
    <w:rsid w:val="008A3641"/>
    <w:rsid w:val="008A61FA"/>
    <w:rsid w:val="008B27D7"/>
    <w:rsid w:val="008B6149"/>
    <w:rsid w:val="008B6BC6"/>
    <w:rsid w:val="008B7626"/>
    <w:rsid w:val="008C1ADD"/>
    <w:rsid w:val="008C47B1"/>
    <w:rsid w:val="008C5DA6"/>
    <w:rsid w:val="008E3C42"/>
    <w:rsid w:val="008E4CA6"/>
    <w:rsid w:val="008F0AEC"/>
    <w:rsid w:val="008F51E1"/>
    <w:rsid w:val="00901095"/>
    <w:rsid w:val="009018ED"/>
    <w:rsid w:val="0090248E"/>
    <w:rsid w:val="00911CA4"/>
    <w:rsid w:val="00922D05"/>
    <w:rsid w:val="00923840"/>
    <w:rsid w:val="00926D63"/>
    <w:rsid w:val="00931E0F"/>
    <w:rsid w:val="009335A6"/>
    <w:rsid w:val="00936F80"/>
    <w:rsid w:val="00943B4B"/>
    <w:rsid w:val="00945305"/>
    <w:rsid w:val="009569FC"/>
    <w:rsid w:val="009619BE"/>
    <w:rsid w:val="009649F1"/>
    <w:rsid w:val="00965CB9"/>
    <w:rsid w:val="00967FBA"/>
    <w:rsid w:val="00973191"/>
    <w:rsid w:val="009856EC"/>
    <w:rsid w:val="00986ACC"/>
    <w:rsid w:val="00993059"/>
    <w:rsid w:val="009A1014"/>
    <w:rsid w:val="009A3775"/>
    <w:rsid w:val="009B1F27"/>
    <w:rsid w:val="009C10E5"/>
    <w:rsid w:val="009C487E"/>
    <w:rsid w:val="009C73DC"/>
    <w:rsid w:val="009D7C64"/>
    <w:rsid w:val="009E1DFE"/>
    <w:rsid w:val="009E3C0C"/>
    <w:rsid w:val="009E59AD"/>
    <w:rsid w:val="009F2427"/>
    <w:rsid w:val="00A02ADC"/>
    <w:rsid w:val="00A044BA"/>
    <w:rsid w:val="00A04FDB"/>
    <w:rsid w:val="00A148CF"/>
    <w:rsid w:val="00A148ED"/>
    <w:rsid w:val="00A15D9D"/>
    <w:rsid w:val="00A20FD1"/>
    <w:rsid w:val="00A24357"/>
    <w:rsid w:val="00A26C82"/>
    <w:rsid w:val="00A337BF"/>
    <w:rsid w:val="00A338CB"/>
    <w:rsid w:val="00A42E92"/>
    <w:rsid w:val="00A55E38"/>
    <w:rsid w:val="00A60038"/>
    <w:rsid w:val="00A70A98"/>
    <w:rsid w:val="00A766FB"/>
    <w:rsid w:val="00A862FD"/>
    <w:rsid w:val="00AA5A36"/>
    <w:rsid w:val="00AA643A"/>
    <w:rsid w:val="00AB222E"/>
    <w:rsid w:val="00AC178F"/>
    <w:rsid w:val="00AC1EC2"/>
    <w:rsid w:val="00AC4CF7"/>
    <w:rsid w:val="00AD2B92"/>
    <w:rsid w:val="00AE2632"/>
    <w:rsid w:val="00AE41D5"/>
    <w:rsid w:val="00AE4EE7"/>
    <w:rsid w:val="00AF44B8"/>
    <w:rsid w:val="00B0555A"/>
    <w:rsid w:val="00B13098"/>
    <w:rsid w:val="00B3289C"/>
    <w:rsid w:val="00B35BCC"/>
    <w:rsid w:val="00B50AD4"/>
    <w:rsid w:val="00B50FBB"/>
    <w:rsid w:val="00B537C8"/>
    <w:rsid w:val="00B5427C"/>
    <w:rsid w:val="00B54828"/>
    <w:rsid w:val="00B56C39"/>
    <w:rsid w:val="00B6500B"/>
    <w:rsid w:val="00B865FB"/>
    <w:rsid w:val="00B95374"/>
    <w:rsid w:val="00BA1C77"/>
    <w:rsid w:val="00BA1F77"/>
    <w:rsid w:val="00BA28C1"/>
    <w:rsid w:val="00BA4C1C"/>
    <w:rsid w:val="00BA5311"/>
    <w:rsid w:val="00BA5461"/>
    <w:rsid w:val="00BB1A94"/>
    <w:rsid w:val="00BB6D15"/>
    <w:rsid w:val="00BD1BBA"/>
    <w:rsid w:val="00BD50EE"/>
    <w:rsid w:val="00BE3C16"/>
    <w:rsid w:val="00BE4FF6"/>
    <w:rsid w:val="00BF5462"/>
    <w:rsid w:val="00C04D23"/>
    <w:rsid w:val="00C06194"/>
    <w:rsid w:val="00C06812"/>
    <w:rsid w:val="00C11FFF"/>
    <w:rsid w:val="00C14015"/>
    <w:rsid w:val="00C16794"/>
    <w:rsid w:val="00C3332D"/>
    <w:rsid w:val="00C34195"/>
    <w:rsid w:val="00C345C2"/>
    <w:rsid w:val="00C41FA1"/>
    <w:rsid w:val="00C66C22"/>
    <w:rsid w:val="00C7094C"/>
    <w:rsid w:val="00C870C5"/>
    <w:rsid w:val="00C9669A"/>
    <w:rsid w:val="00CA0215"/>
    <w:rsid w:val="00CC09B2"/>
    <w:rsid w:val="00CC4B88"/>
    <w:rsid w:val="00CC66DE"/>
    <w:rsid w:val="00CD7626"/>
    <w:rsid w:val="00CE7589"/>
    <w:rsid w:val="00CF20EC"/>
    <w:rsid w:val="00CF378F"/>
    <w:rsid w:val="00D00E90"/>
    <w:rsid w:val="00D11A5B"/>
    <w:rsid w:val="00D149D3"/>
    <w:rsid w:val="00D15788"/>
    <w:rsid w:val="00D1725E"/>
    <w:rsid w:val="00D232F9"/>
    <w:rsid w:val="00D262A7"/>
    <w:rsid w:val="00D277D8"/>
    <w:rsid w:val="00D3363E"/>
    <w:rsid w:val="00D36149"/>
    <w:rsid w:val="00D37058"/>
    <w:rsid w:val="00D57588"/>
    <w:rsid w:val="00D646EF"/>
    <w:rsid w:val="00D64F17"/>
    <w:rsid w:val="00D66D4F"/>
    <w:rsid w:val="00D71E00"/>
    <w:rsid w:val="00D80958"/>
    <w:rsid w:val="00D876C0"/>
    <w:rsid w:val="00DC5D3C"/>
    <w:rsid w:val="00DF768F"/>
    <w:rsid w:val="00E132AB"/>
    <w:rsid w:val="00E16628"/>
    <w:rsid w:val="00E24EC9"/>
    <w:rsid w:val="00E345FE"/>
    <w:rsid w:val="00E347A9"/>
    <w:rsid w:val="00E420F7"/>
    <w:rsid w:val="00E42581"/>
    <w:rsid w:val="00E532F5"/>
    <w:rsid w:val="00E544F1"/>
    <w:rsid w:val="00E54743"/>
    <w:rsid w:val="00E64CBB"/>
    <w:rsid w:val="00E660E6"/>
    <w:rsid w:val="00E75B0E"/>
    <w:rsid w:val="00E9747B"/>
    <w:rsid w:val="00EA7190"/>
    <w:rsid w:val="00EC1F6D"/>
    <w:rsid w:val="00EC5BDE"/>
    <w:rsid w:val="00ED079C"/>
    <w:rsid w:val="00EE737B"/>
    <w:rsid w:val="00EF110C"/>
    <w:rsid w:val="00EF3089"/>
    <w:rsid w:val="00F14E53"/>
    <w:rsid w:val="00F178DA"/>
    <w:rsid w:val="00F427A9"/>
    <w:rsid w:val="00F45243"/>
    <w:rsid w:val="00F514B3"/>
    <w:rsid w:val="00F55D2E"/>
    <w:rsid w:val="00F60699"/>
    <w:rsid w:val="00F70811"/>
    <w:rsid w:val="00F97C62"/>
    <w:rsid w:val="00FB37C7"/>
    <w:rsid w:val="00FB4F63"/>
    <w:rsid w:val="00FC19F8"/>
    <w:rsid w:val="00FD1DB8"/>
    <w:rsid w:val="00FD5923"/>
    <w:rsid w:val="00FE52A3"/>
    <w:rsid w:val="00FF3A24"/>
    <w:rsid w:val="00FF65C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7B203-C6D9-47D9-B8FE-62C0512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DC"/>
    <w:rPr>
      <w:color w:val="0000FF"/>
      <w:u w:val="single"/>
    </w:rPr>
  </w:style>
  <w:style w:type="paragraph" w:styleId="BalloonText">
    <w:name w:val="Balloon Text"/>
    <w:basedOn w:val="Normal"/>
    <w:link w:val="BalloonTextChar"/>
    <w:uiPriority w:val="99"/>
    <w:semiHidden/>
    <w:unhideWhenUsed/>
    <w:rsid w:val="0071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A"/>
    <w:rPr>
      <w:rFonts w:ascii="Tahoma" w:hAnsi="Tahoma" w:cs="Tahoma"/>
      <w:sz w:val="16"/>
      <w:szCs w:val="16"/>
    </w:rPr>
  </w:style>
  <w:style w:type="paragraph" w:styleId="Header">
    <w:name w:val="header"/>
    <w:basedOn w:val="Normal"/>
    <w:link w:val="HeaderChar"/>
    <w:uiPriority w:val="99"/>
    <w:semiHidden/>
    <w:unhideWhenUsed/>
    <w:rsid w:val="00717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7AA"/>
  </w:style>
  <w:style w:type="paragraph" w:styleId="Footer">
    <w:name w:val="footer"/>
    <w:basedOn w:val="Normal"/>
    <w:link w:val="FooterChar"/>
    <w:uiPriority w:val="99"/>
    <w:semiHidden/>
    <w:unhideWhenUsed/>
    <w:rsid w:val="00717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7AA"/>
  </w:style>
  <w:style w:type="table" w:styleId="TableGrid">
    <w:name w:val="Table Grid"/>
    <w:basedOn w:val="TableNormal"/>
    <w:uiPriority w:val="59"/>
    <w:rsid w:val="00931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10618"/>
    <w:pPr>
      <w:ind w:left="720"/>
      <w:contextualSpacing/>
    </w:pPr>
  </w:style>
  <w:style w:type="character" w:styleId="CommentReference">
    <w:name w:val="annotation reference"/>
    <w:basedOn w:val="DefaultParagraphFont"/>
    <w:uiPriority w:val="99"/>
    <w:semiHidden/>
    <w:unhideWhenUsed/>
    <w:rsid w:val="000636B4"/>
    <w:rPr>
      <w:sz w:val="16"/>
      <w:szCs w:val="16"/>
    </w:rPr>
  </w:style>
  <w:style w:type="paragraph" w:styleId="CommentText">
    <w:name w:val="annotation text"/>
    <w:basedOn w:val="Normal"/>
    <w:link w:val="CommentTextChar"/>
    <w:uiPriority w:val="99"/>
    <w:semiHidden/>
    <w:unhideWhenUsed/>
    <w:rsid w:val="000636B4"/>
    <w:pPr>
      <w:spacing w:line="240" w:lineRule="auto"/>
    </w:pPr>
    <w:rPr>
      <w:sz w:val="20"/>
      <w:szCs w:val="20"/>
    </w:rPr>
  </w:style>
  <w:style w:type="character" w:customStyle="1" w:styleId="CommentTextChar">
    <w:name w:val="Comment Text Char"/>
    <w:basedOn w:val="DefaultParagraphFont"/>
    <w:link w:val="CommentText"/>
    <w:uiPriority w:val="99"/>
    <w:semiHidden/>
    <w:rsid w:val="000636B4"/>
    <w:rPr>
      <w:sz w:val="20"/>
      <w:szCs w:val="20"/>
    </w:rPr>
  </w:style>
  <w:style w:type="paragraph" w:styleId="CommentSubject">
    <w:name w:val="annotation subject"/>
    <w:basedOn w:val="CommentText"/>
    <w:next w:val="CommentText"/>
    <w:link w:val="CommentSubjectChar"/>
    <w:uiPriority w:val="99"/>
    <w:semiHidden/>
    <w:unhideWhenUsed/>
    <w:rsid w:val="000636B4"/>
    <w:rPr>
      <w:b/>
      <w:bCs/>
    </w:rPr>
  </w:style>
  <w:style w:type="character" w:customStyle="1" w:styleId="CommentSubjectChar">
    <w:name w:val="Comment Subject Char"/>
    <w:basedOn w:val="CommentTextChar"/>
    <w:link w:val="CommentSubject"/>
    <w:uiPriority w:val="99"/>
    <w:semiHidden/>
    <w:rsid w:val="000636B4"/>
    <w:rPr>
      <w:b/>
      <w:bCs/>
      <w:sz w:val="20"/>
      <w:szCs w:val="20"/>
    </w:rPr>
  </w:style>
  <w:style w:type="paragraph" w:customStyle="1" w:styleId="ecxmsonormal">
    <w:name w:val="ecxmsonormal"/>
    <w:basedOn w:val="Normal"/>
    <w:rsid w:val="00CF20EC"/>
    <w:pPr>
      <w:spacing w:after="324" w:line="240" w:lineRule="auto"/>
    </w:pPr>
    <w:rPr>
      <w:rFonts w:ascii="Times New Roman" w:eastAsia="Times New Roman" w:hAnsi="Times New Roman" w:cs="Times New Roman"/>
      <w:sz w:val="24"/>
      <w:szCs w:val="24"/>
      <w:lang w:eastAsia="en-ZA"/>
    </w:rPr>
  </w:style>
  <w:style w:type="paragraph" w:customStyle="1" w:styleId="Default">
    <w:name w:val="Default"/>
    <w:rsid w:val="00FC19F8"/>
    <w:pPr>
      <w:autoSpaceDE w:val="0"/>
      <w:autoSpaceDN w:val="0"/>
      <w:adjustRightInd w:val="0"/>
      <w:spacing w:after="0" w:line="240" w:lineRule="auto"/>
    </w:pPr>
    <w:rPr>
      <w:rFonts w:ascii="Arial" w:hAnsi="Arial" w:cs="Arial"/>
      <w:color w:val="000000"/>
      <w:sz w:val="24"/>
      <w:szCs w:val="24"/>
    </w:rPr>
  </w:style>
  <w:style w:type="paragraph" w:customStyle="1" w:styleId="ecxmsolistparagraph">
    <w:name w:val="ecxmsolistparagraph"/>
    <w:basedOn w:val="Normal"/>
    <w:rsid w:val="00172D9A"/>
    <w:pPr>
      <w:spacing w:after="324" w:line="240" w:lineRule="auto"/>
    </w:pPr>
    <w:rPr>
      <w:rFonts w:ascii="Times New Roman" w:eastAsia="Times New Roman" w:hAnsi="Times New Roman" w:cs="Times New Roman"/>
      <w:sz w:val="24"/>
      <w:szCs w:val="24"/>
      <w:lang w:eastAsia="en-ZA"/>
    </w:rPr>
  </w:style>
  <w:style w:type="character" w:customStyle="1" w:styleId="ListParagraphChar">
    <w:name w:val="List Paragraph Char"/>
    <w:basedOn w:val="DefaultParagraphFont"/>
    <w:link w:val="ListParagraph"/>
    <w:uiPriority w:val="34"/>
    <w:rsid w:val="00B9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53101">
      <w:bodyDiv w:val="1"/>
      <w:marLeft w:val="0"/>
      <w:marRight w:val="0"/>
      <w:marTop w:val="0"/>
      <w:marBottom w:val="0"/>
      <w:divBdr>
        <w:top w:val="none" w:sz="0" w:space="0" w:color="auto"/>
        <w:left w:val="none" w:sz="0" w:space="0" w:color="auto"/>
        <w:bottom w:val="none" w:sz="0" w:space="0" w:color="auto"/>
        <w:right w:val="none" w:sz="0" w:space="0" w:color="auto"/>
      </w:divBdr>
      <w:divsChild>
        <w:div w:id="832600544">
          <w:marLeft w:val="0"/>
          <w:marRight w:val="0"/>
          <w:marTop w:val="0"/>
          <w:marBottom w:val="0"/>
          <w:divBdr>
            <w:top w:val="none" w:sz="0" w:space="0" w:color="auto"/>
            <w:left w:val="none" w:sz="0" w:space="0" w:color="auto"/>
            <w:bottom w:val="none" w:sz="0" w:space="0" w:color="auto"/>
            <w:right w:val="none" w:sz="0" w:space="0" w:color="auto"/>
          </w:divBdr>
          <w:divsChild>
            <w:div w:id="722489631">
              <w:marLeft w:val="0"/>
              <w:marRight w:val="0"/>
              <w:marTop w:val="0"/>
              <w:marBottom w:val="0"/>
              <w:divBdr>
                <w:top w:val="none" w:sz="0" w:space="0" w:color="auto"/>
                <w:left w:val="none" w:sz="0" w:space="0" w:color="auto"/>
                <w:bottom w:val="none" w:sz="0" w:space="0" w:color="auto"/>
                <w:right w:val="none" w:sz="0" w:space="0" w:color="auto"/>
              </w:divBdr>
              <w:divsChild>
                <w:div w:id="1746565917">
                  <w:marLeft w:val="0"/>
                  <w:marRight w:val="0"/>
                  <w:marTop w:val="100"/>
                  <w:marBottom w:val="100"/>
                  <w:divBdr>
                    <w:top w:val="none" w:sz="0" w:space="0" w:color="auto"/>
                    <w:left w:val="none" w:sz="0" w:space="0" w:color="auto"/>
                    <w:bottom w:val="none" w:sz="0" w:space="0" w:color="auto"/>
                    <w:right w:val="none" w:sz="0" w:space="0" w:color="auto"/>
                  </w:divBdr>
                  <w:divsChild>
                    <w:div w:id="956833790">
                      <w:marLeft w:val="0"/>
                      <w:marRight w:val="0"/>
                      <w:marTop w:val="0"/>
                      <w:marBottom w:val="0"/>
                      <w:divBdr>
                        <w:top w:val="none" w:sz="0" w:space="0" w:color="auto"/>
                        <w:left w:val="none" w:sz="0" w:space="0" w:color="auto"/>
                        <w:bottom w:val="none" w:sz="0" w:space="0" w:color="auto"/>
                        <w:right w:val="none" w:sz="0" w:space="0" w:color="auto"/>
                      </w:divBdr>
                      <w:divsChild>
                        <w:div w:id="1040058270">
                          <w:marLeft w:val="0"/>
                          <w:marRight w:val="0"/>
                          <w:marTop w:val="0"/>
                          <w:marBottom w:val="0"/>
                          <w:divBdr>
                            <w:top w:val="none" w:sz="0" w:space="0" w:color="auto"/>
                            <w:left w:val="none" w:sz="0" w:space="0" w:color="auto"/>
                            <w:bottom w:val="none" w:sz="0" w:space="0" w:color="auto"/>
                            <w:right w:val="none" w:sz="0" w:space="0" w:color="auto"/>
                          </w:divBdr>
                          <w:divsChild>
                            <w:div w:id="792821684">
                              <w:marLeft w:val="0"/>
                              <w:marRight w:val="0"/>
                              <w:marTop w:val="0"/>
                              <w:marBottom w:val="0"/>
                              <w:divBdr>
                                <w:top w:val="none" w:sz="0" w:space="0" w:color="auto"/>
                                <w:left w:val="none" w:sz="0" w:space="0" w:color="auto"/>
                                <w:bottom w:val="none" w:sz="0" w:space="0" w:color="auto"/>
                                <w:right w:val="none" w:sz="0" w:space="0" w:color="auto"/>
                              </w:divBdr>
                              <w:divsChild>
                                <w:div w:id="526455570">
                                  <w:marLeft w:val="0"/>
                                  <w:marRight w:val="0"/>
                                  <w:marTop w:val="0"/>
                                  <w:marBottom w:val="0"/>
                                  <w:divBdr>
                                    <w:top w:val="none" w:sz="0" w:space="0" w:color="auto"/>
                                    <w:left w:val="none" w:sz="0" w:space="0" w:color="auto"/>
                                    <w:bottom w:val="none" w:sz="0" w:space="0" w:color="auto"/>
                                    <w:right w:val="none" w:sz="0" w:space="0" w:color="auto"/>
                                  </w:divBdr>
                                  <w:divsChild>
                                    <w:div w:id="1996034544">
                                      <w:marLeft w:val="0"/>
                                      <w:marRight w:val="0"/>
                                      <w:marTop w:val="0"/>
                                      <w:marBottom w:val="0"/>
                                      <w:divBdr>
                                        <w:top w:val="none" w:sz="0" w:space="0" w:color="auto"/>
                                        <w:left w:val="none" w:sz="0" w:space="0" w:color="auto"/>
                                        <w:bottom w:val="none" w:sz="0" w:space="0" w:color="auto"/>
                                        <w:right w:val="none" w:sz="0" w:space="0" w:color="auto"/>
                                      </w:divBdr>
                                      <w:divsChild>
                                        <w:div w:id="1267814612">
                                          <w:marLeft w:val="0"/>
                                          <w:marRight w:val="0"/>
                                          <w:marTop w:val="0"/>
                                          <w:marBottom w:val="0"/>
                                          <w:divBdr>
                                            <w:top w:val="none" w:sz="0" w:space="0" w:color="auto"/>
                                            <w:left w:val="none" w:sz="0" w:space="0" w:color="auto"/>
                                            <w:bottom w:val="none" w:sz="0" w:space="0" w:color="auto"/>
                                            <w:right w:val="none" w:sz="0" w:space="0" w:color="auto"/>
                                          </w:divBdr>
                                          <w:divsChild>
                                            <w:div w:id="397633865">
                                              <w:marLeft w:val="0"/>
                                              <w:marRight w:val="0"/>
                                              <w:marTop w:val="0"/>
                                              <w:marBottom w:val="0"/>
                                              <w:divBdr>
                                                <w:top w:val="none" w:sz="0" w:space="0" w:color="auto"/>
                                                <w:left w:val="none" w:sz="0" w:space="0" w:color="auto"/>
                                                <w:bottom w:val="none" w:sz="0" w:space="0" w:color="auto"/>
                                                <w:right w:val="none" w:sz="0" w:space="0" w:color="auto"/>
                                              </w:divBdr>
                                              <w:divsChild>
                                                <w:div w:id="1563785532">
                                                  <w:marLeft w:val="0"/>
                                                  <w:marRight w:val="300"/>
                                                  <w:marTop w:val="0"/>
                                                  <w:marBottom w:val="0"/>
                                                  <w:divBdr>
                                                    <w:top w:val="none" w:sz="0" w:space="0" w:color="auto"/>
                                                    <w:left w:val="none" w:sz="0" w:space="0" w:color="auto"/>
                                                    <w:bottom w:val="none" w:sz="0" w:space="0" w:color="auto"/>
                                                    <w:right w:val="none" w:sz="0" w:space="0" w:color="auto"/>
                                                  </w:divBdr>
                                                  <w:divsChild>
                                                    <w:div w:id="2068339424">
                                                      <w:marLeft w:val="0"/>
                                                      <w:marRight w:val="0"/>
                                                      <w:marTop w:val="0"/>
                                                      <w:marBottom w:val="0"/>
                                                      <w:divBdr>
                                                        <w:top w:val="none" w:sz="0" w:space="0" w:color="auto"/>
                                                        <w:left w:val="none" w:sz="0" w:space="0" w:color="auto"/>
                                                        <w:bottom w:val="none" w:sz="0" w:space="0" w:color="auto"/>
                                                        <w:right w:val="none" w:sz="0" w:space="0" w:color="auto"/>
                                                      </w:divBdr>
                                                      <w:divsChild>
                                                        <w:div w:id="1311979777">
                                                          <w:marLeft w:val="0"/>
                                                          <w:marRight w:val="0"/>
                                                          <w:marTop w:val="0"/>
                                                          <w:marBottom w:val="300"/>
                                                          <w:divBdr>
                                                            <w:top w:val="single" w:sz="6" w:space="0" w:color="CCCCCC"/>
                                                            <w:left w:val="none" w:sz="0" w:space="0" w:color="auto"/>
                                                            <w:bottom w:val="none" w:sz="0" w:space="0" w:color="auto"/>
                                                            <w:right w:val="none" w:sz="0" w:space="0" w:color="auto"/>
                                                          </w:divBdr>
                                                          <w:divsChild>
                                                            <w:div w:id="77294972">
                                                              <w:marLeft w:val="0"/>
                                                              <w:marRight w:val="0"/>
                                                              <w:marTop w:val="0"/>
                                                              <w:marBottom w:val="0"/>
                                                              <w:divBdr>
                                                                <w:top w:val="none" w:sz="0" w:space="0" w:color="auto"/>
                                                                <w:left w:val="none" w:sz="0" w:space="0" w:color="auto"/>
                                                                <w:bottom w:val="none" w:sz="0" w:space="0" w:color="auto"/>
                                                                <w:right w:val="none" w:sz="0" w:space="0" w:color="auto"/>
                                                              </w:divBdr>
                                                              <w:divsChild>
                                                                <w:div w:id="1225916599">
                                                                  <w:marLeft w:val="0"/>
                                                                  <w:marRight w:val="0"/>
                                                                  <w:marTop w:val="0"/>
                                                                  <w:marBottom w:val="0"/>
                                                                  <w:divBdr>
                                                                    <w:top w:val="none" w:sz="0" w:space="0" w:color="auto"/>
                                                                    <w:left w:val="none" w:sz="0" w:space="0" w:color="auto"/>
                                                                    <w:bottom w:val="none" w:sz="0" w:space="0" w:color="auto"/>
                                                                    <w:right w:val="none" w:sz="0" w:space="0" w:color="auto"/>
                                                                  </w:divBdr>
                                                                  <w:divsChild>
                                                                    <w:div w:id="894119894">
                                                                      <w:marLeft w:val="0"/>
                                                                      <w:marRight w:val="0"/>
                                                                      <w:marTop w:val="0"/>
                                                                      <w:marBottom w:val="0"/>
                                                                      <w:divBdr>
                                                                        <w:top w:val="none" w:sz="0" w:space="0" w:color="auto"/>
                                                                        <w:left w:val="none" w:sz="0" w:space="0" w:color="auto"/>
                                                                        <w:bottom w:val="none" w:sz="0" w:space="0" w:color="auto"/>
                                                                        <w:right w:val="none" w:sz="0" w:space="0" w:color="auto"/>
                                                                      </w:divBdr>
                                                                      <w:divsChild>
                                                                        <w:div w:id="10777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199610">
      <w:bodyDiv w:val="1"/>
      <w:marLeft w:val="0"/>
      <w:marRight w:val="0"/>
      <w:marTop w:val="0"/>
      <w:marBottom w:val="0"/>
      <w:divBdr>
        <w:top w:val="none" w:sz="0" w:space="0" w:color="auto"/>
        <w:left w:val="none" w:sz="0" w:space="0" w:color="auto"/>
        <w:bottom w:val="none" w:sz="0" w:space="0" w:color="auto"/>
        <w:right w:val="none" w:sz="0" w:space="0" w:color="auto"/>
      </w:divBdr>
      <w:divsChild>
        <w:div w:id="1071611521">
          <w:marLeft w:val="0"/>
          <w:marRight w:val="0"/>
          <w:marTop w:val="0"/>
          <w:marBottom w:val="0"/>
          <w:divBdr>
            <w:top w:val="none" w:sz="0" w:space="0" w:color="auto"/>
            <w:left w:val="none" w:sz="0" w:space="0" w:color="auto"/>
            <w:bottom w:val="none" w:sz="0" w:space="0" w:color="auto"/>
            <w:right w:val="none" w:sz="0" w:space="0" w:color="auto"/>
          </w:divBdr>
          <w:divsChild>
            <w:div w:id="162743522">
              <w:marLeft w:val="0"/>
              <w:marRight w:val="0"/>
              <w:marTop w:val="0"/>
              <w:marBottom w:val="0"/>
              <w:divBdr>
                <w:top w:val="none" w:sz="0" w:space="0" w:color="auto"/>
                <w:left w:val="none" w:sz="0" w:space="0" w:color="auto"/>
                <w:bottom w:val="none" w:sz="0" w:space="0" w:color="auto"/>
                <w:right w:val="none" w:sz="0" w:space="0" w:color="auto"/>
              </w:divBdr>
              <w:divsChild>
                <w:div w:id="1333483613">
                  <w:marLeft w:val="0"/>
                  <w:marRight w:val="0"/>
                  <w:marTop w:val="100"/>
                  <w:marBottom w:val="100"/>
                  <w:divBdr>
                    <w:top w:val="none" w:sz="0" w:space="0" w:color="auto"/>
                    <w:left w:val="none" w:sz="0" w:space="0" w:color="auto"/>
                    <w:bottom w:val="none" w:sz="0" w:space="0" w:color="auto"/>
                    <w:right w:val="none" w:sz="0" w:space="0" w:color="auto"/>
                  </w:divBdr>
                  <w:divsChild>
                    <w:div w:id="1867866718">
                      <w:marLeft w:val="0"/>
                      <w:marRight w:val="0"/>
                      <w:marTop w:val="0"/>
                      <w:marBottom w:val="0"/>
                      <w:divBdr>
                        <w:top w:val="none" w:sz="0" w:space="0" w:color="auto"/>
                        <w:left w:val="none" w:sz="0" w:space="0" w:color="auto"/>
                        <w:bottom w:val="none" w:sz="0" w:space="0" w:color="auto"/>
                        <w:right w:val="none" w:sz="0" w:space="0" w:color="auto"/>
                      </w:divBdr>
                      <w:divsChild>
                        <w:div w:id="1378625118">
                          <w:marLeft w:val="0"/>
                          <w:marRight w:val="0"/>
                          <w:marTop w:val="0"/>
                          <w:marBottom w:val="0"/>
                          <w:divBdr>
                            <w:top w:val="none" w:sz="0" w:space="0" w:color="auto"/>
                            <w:left w:val="none" w:sz="0" w:space="0" w:color="auto"/>
                            <w:bottom w:val="none" w:sz="0" w:space="0" w:color="auto"/>
                            <w:right w:val="none" w:sz="0" w:space="0" w:color="auto"/>
                          </w:divBdr>
                          <w:divsChild>
                            <w:div w:id="1128931846">
                              <w:marLeft w:val="0"/>
                              <w:marRight w:val="0"/>
                              <w:marTop w:val="0"/>
                              <w:marBottom w:val="0"/>
                              <w:divBdr>
                                <w:top w:val="none" w:sz="0" w:space="0" w:color="auto"/>
                                <w:left w:val="none" w:sz="0" w:space="0" w:color="auto"/>
                                <w:bottom w:val="none" w:sz="0" w:space="0" w:color="auto"/>
                                <w:right w:val="none" w:sz="0" w:space="0" w:color="auto"/>
                              </w:divBdr>
                              <w:divsChild>
                                <w:div w:id="541672538">
                                  <w:marLeft w:val="0"/>
                                  <w:marRight w:val="0"/>
                                  <w:marTop w:val="0"/>
                                  <w:marBottom w:val="0"/>
                                  <w:divBdr>
                                    <w:top w:val="none" w:sz="0" w:space="0" w:color="auto"/>
                                    <w:left w:val="none" w:sz="0" w:space="0" w:color="auto"/>
                                    <w:bottom w:val="none" w:sz="0" w:space="0" w:color="auto"/>
                                    <w:right w:val="none" w:sz="0" w:space="0" w:color="auto"/>
                                  </w:divBdr>
                                  <w:divsChild>
                                    <w:div w:id="187305435">
                                      <w:marLeft w:val="0"/>
                                      <w:marRight w:val="0"/>
                                      <w:marTop w:val="0"/>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sChild>
                                            <w:div w:id="2079207374">
                                              <w:marLeft w:val="0"/>
                                              <w:marRight w:val="0"/>
                                              <w:marTop w:val="0"/>
                                              <w:marBottom w:val="0"/>
                                              <w:divBdr>
                                                <w:top w:val="none" w:sz="0" w:space="0" w:color="auto"/>
                                                <w:left w:val="none" w:sz="0" w:space="0" w:color="auto"/>
                                                <w:bottom w:val="none" w:sz="0" w:space="0" w:color="auto"/>
                                                <w:right w:val="none" w:sz="0" w:space="0" w:color="auto"/>
                                              </w:divBdr>
                                              <w:divsChild>
                                                <w:div w:id="94833648">
                                                  <w:marLeft w:val="0"/>
                                                  <w:marRight w:val="300"/>
                                                  <w:marTop w:val="0"/>
                                                  <w:marBottom w:val="0"/>
                                                  <w:divBdr>
                                                    <w:top w:val="none" w:sz="0" w:space="0" w:color="auto"/>
                                                    <w:left w:val="none" w:sz="0" w:space="0" w:color="auto"/>
                                                    <w:bottom w:val="none" w:sz="0" w:space="0" w:color="auto"/>
                                                    <w:right w:val="none" w:sz="0" w:space="0" w:color="auto"/>
                                                  </w:divBdr>
                                                  <w:divsChild>
                                                    <w:div w:id="790437994">
                                                      <w:marLeft w:val="0"/>
                                                      <w:marRight w:val="0"/>
                                                      <w:marTop w:val="0"/>
                                                      <w:marBottom w:val="0"/>
                                                      <w:divBdr>
                                                        <w:top w:val="none" w:sz="0" w:space="0" w:color="auto"/>
                                                        <w:left w:val="none" w:sz="0" w:space="0" w:color="auto"/>
                                                        <w:bottom w:val="none" w:sz="0" w:space="0" w:color="auto"/>
                                                        <w:right w:val="none" w:sz="0" w:space="0" w:color="auto"/>
                                                      </w:divBdr>
                                                      <w:divsChild>
                                                        <w:div w:id="1358659150">
                                                          <w:marLeft w:val="0"/>
                                                          <w:marRight w:val="0"/>
                                                          <w:marTop w:val="0"/>
                                                          <w:marBottom w:val="300"/>
                                                          <w:divBdr>
                                                            <w:top w:val="single" w:sz="6" w:space="0" w:color="CCCCCC"/>
                                                            <w:left w:val="none" w:sz="0" w:space="0" w:color="auto"/>
                                                            <w:bottom w:val="none" w:sz="0" w:space="0" w:color="auto"/>
                                                            <w:right w:val="none" w:sz="0" w:space="0" w:color="auto"/>
                                                          </w:divBdr>
                                                          <w:divsChild>
                                                            <w:div w:id="1831287504">
                                                              <w:marLeft w:val="0"/>
                                                              <w:marRight w:val="0"/>
                                                              <w:marTop w:val="0"/>
                                                              <w:marBottom w:val="0"/>
                                                              <w:divBdr>
                                                                <w:top w:val="none" w:sz="0" w:space="0" w:color="auto"/>
                                                                <w:left w:val="none" w:sz="0" w:space="0" w:color="auto"/>
                                                                <w:bottom w:val="none" w:sz="0" w:space="0" w:color="auto"/>
                                                                <w:right w:val="none" w:sz="0" w:space="0" w:color="auto"/>
                                                              </w:divBdr>
                                                              <w:divsChild>
                                                                <w:div w:id="2055619928">
                                                                  <w:marLeft w:val="0"/>
                                                                  <w:marRight w:val="0"/>
                                                                  <w:marTop w:val="0"/>
                                                                  <w:marBottom w:val="0"/>
                                                                  <w:divBdr>
                                                                    <w:top w:val="none" w:sz="0" w:space="0" w:color="auto"/>
                                                                    <w:left w:val="none" w:sz="0" w:space="0" w:color="auto"/>
                                                                    <w:bottom w:val="none" w:sz="0" w:space="0" w:color="auto"/>
                                                                    <w:right w:val="none" w:sz="0" w:space="0" w:color="auto"/>
                                                                  </w:divBdr>
                                                                  <w:divsChild>
                                                                    <w:div w:id="989596469">
                                                                      <w:marLeft w:val="0"/>
                                                                      <w:marRight w:val="0"/>
                                                                      <w:marTop w:val="0"/>
                                                                      <w:marBottom w:val="0"/>
                                                                      <w:divBdr>
                                                                        <w:top w:val="none" w:sz="0" w:space="0" w:color="auto"/>
                                                                        <w:left w:val="none" w:sz="0" w:space="0" w:color="auto"/>
                                                                        <w:bottom w:val="none" w:sz="0" w:space="0" w:color="auto"/>
                                                                        <w:right w:val="none" w:sz="0" w:space="0" w:color="auto"/>
                                                                      </w:divBdr>
                                                                      <w:divsChild>
                                                                        <w:div w:id="148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169095">
      <w:bodyDiv w:val="1"/>
      <w:marLeft w:val="0"/>
      <w:marRight w:val="0"/>
      <w:marTop w:val="0"/>
      <w:marBottom w:val="0"/>
      <w:divBdr>
        <w:top w:val="none" w:sz="0" w:space="0" w:color="auto"/>
        <w:left w:val="none" w:sz="0" w:space="0" w:color="auto"/>
        <w:bottom w:val="none" w:sz="0" w:space="0" w:color="auto"/>
        <w:right w:val="none" w:sz="0" w:space="0" w:color="auto"/>
      </w:divBdr>
      <w:divsChild>
        <w:div w:id="821198597">
          <w:marLeft w:val="0"/>
          <w:marRight w:val="0"/>
          <w:marTop w:val="0"/>
          <w:marBottom w:val="0"/>
          <w:divBdr>
            <w:top w:val="none" w:sz="0" w:space="0" w:color="auto"/>
            <w:left w:val="none" w:sz="0" w:space="0" w:color="auto"/>
            <w:bottom w:val="none" w:sz="0" w:space="0" w:color="auto"/>
            <w:right w:val="none" w:sz="0" w:space="0" w:color="auto"/>
          </w:divBdr>
          <w:divsChild>
            <w:div w:id="690182271">
              <w:marLeft w:val="0"/>
              <w:marRight w:val="0"/>
              <w:marTop w:val="0"/>
              <w:marBottom w:val="0"/>
              <w:divBdr>
                <w:top w:val="none" w:sz="0" w:space="0" w:color="auto"/>
                <w:left w:val="none" w:sz="0" w:space="0" w:color="auto"/>
                <w:bottom w:val="none" w:sz="0" w:space="0" w:color="auto"/>
                <w:right w:val="none" w:sz="0" w:space="0" w:color="auto"/>
              </w:divBdr>
              <w:divsChild>
                <w:div w:id="735132610">
                  <w:marLeft w:val="0"/>
                  <w:marRight w:val="0"/>
                  <w:marTop w:val="100"/>
                  <w:marBottom w:val="100"/>
                  <w:divBdr>
                    <w:top w:val="none" w:sz="0" w:space="0" w:color="auto"/>
                    <w:left w:val="none" w:sz="0" w:space="0" w:color="auto"/>
                    <w:bottom w:val="none" w:sz="0" w:space="0" w:color="auto"/>
                    <w:right w:val="none" w:sz="0" w:space="0" w:color="auto"/>
                  </w:divBdr>
                  <w:divsChild>
                    <w:div w:id="774979202">
                      <w:marLeft w:val="0"/>
                      <w:marRight w:val="0"/>
                      <w:marTop w:val="0"/>
                      <w:marBottom w:val="0"/>
                      <w:divBdr>
                        <w:top w:val="none" w:sz="0" w:space="0" w:color="auto"/>
                        <w:left w:val="none" w:sz="0" w:space="0" w:color="auto"/>
                        <w:bottom w:val="none" w:sz="0" w:space="0" w:color="auto"/>
                        <w:right w:val="none" w:sz="0" w:space="0" w:color="auto"/>
                      </w:divBdr>
                      <w:divsChild>
                        <w:div w:id="374887838">
                          <w:marLeft w:val="0"/>
                          <w:marRight w:val="0"/>
                          <w:marTop w:val="0"/>
                          <w:marBottom w:val="0"/>
                          <w:divBdr>
                            <w:top w:val="none" w:sz="0" w:space="0" w:color="auto"/>
                            <w:left w:val="none" w:sz="0" w:space="0" w:color="auto"/>
                            <w:bottom w:val="none" w:sz="0" w:space="0" w:color="auto"/>
                            <w:right w:val="none" w:sz="0" w:space="0" w:color="auto"/>
                          </w:divBdr>
                          <w:divsChild>
                            <w:div w:id="366177935">
                              <w:marLeft w:val="0"/>
                              <w:marRight w:val="0"/>
                              <w:marTop w:val="0"/>
                              <w:marBottom w:val="0"/>
                              <w:divBdr>
                                <w:top w:val="none" w:sz="0" w:space="0" w:color="auto"/>
                                <w:left w:val="none" w:sz="0" w:space="0" w:color="auto"/>
                                <w:bottom w:val="none" w:sz="0" w:space="0" w:color="auto"/>
                                <w:right w:val="none" w:sz="0" w:space="0" w:color="auto"/>
                              </w:divBdr>
                              <w:divsChild>
                                <w:div w:id="963997010">
                                  <w:marLeft w:val="0"/>
                                  <w:marRight w:val="0"/>
                                  <w:marTop w:val="0"/>
                                  <w:marBottom w:val="0"/>
                                  <w:divBdr>
                                    <w:top w:val="none" w:sz="0" w:space="0" w:color="auto"/>
                                    <w:left w:val="none" w:sz="0" w:space="0" w:color="auto"/>
                                    <w:bottom w:val="none" w:sz="0" w:space="0" w:color="auto"/>
                                    <w:right w:val="none" w:sz="0" w:space="0" w:color="auto"/>
                                  </w:divBdr>
                                  <w:divsChild>
                                    <w:div w:id="14235313">
                                      <w:marLeft w:val="0"/>
                                      <w:marRight w:val="0"/>
                                      <w:marTop w:val="0"/>
                                      <w:marBottom w:val="0"/>
                                      <w:divBdr>
                                        <w:top w:val="none" w:sz="0" w:space="0" w:color="auto"/>
                                        <w:left w:val="none" w:sz="0" w:space="0" w:color="auto"/>
                                        <w:bottom w:val="none" w:sz="0" w:space="0" w:color="auto"/>
                                        <w:right w:val="none" w:sz="0" w:space="0" w:color="auto"/>
                                      </w:divBdr>
                                      <w:divsChild>
                                        <w:div w:id="228733448">
                                          <w:marLeft w:val="0"/>
                                          <w:marRight w:val="0"/>
                                          <w:marTop w:val="0"/>
                                          <w:marBottom w:val="0"/>
                                          <w:divBdr>
                                            <w:top w:val="none" w:sz="0" w:space="0" w:color="auto"/>
                                            <w:left w:val="none" w:sz="0" w:space="0" w:color="auto"/>
                                            <w:bottom w:val="none" w:sz="0" w:space="0" w:color="auto"/>
                                            <w:right w:val="none" w:sz="0" w:space="0" w:color="auto"/>
                                          </w:divBdr>
                                          <w:divsChild>
                                            <w:div w:id="151677099">
                                              <w:marLeft w:val="0"/>
                                              <w:marRight w:val="0"/>
                                              <w:marTop w:val="0"/>
                                              <w:marBottom w:val="0"/>
                                              <w:divBdr>
                                                <w:top w:val="none" w:sz="0" w:space="0" w:color="auto"/>
                                                <w:left w:val="none" w:sz="0" w:space="0" w:color="auto"/>
                                                <w:bottom w:val="none" w:sz="0" w:space="0" w:color="auto"/>
                                                <w:right w:val="none" w:sz="0" w:space="0" w:color="auto"/>
                                              </w:divBdr>
                                              <w:divsChild>
                                                <w:div w:id="207960945">
                                                  <w:marLeft w:val="0"/>
                                                  <w:marRight w:val="300"/>
                                                  <w:marTop w:val="0"/>
                                                  <w:marBottom w:val="0"/>
                                                  <w:divBdr>
                                                    <w:top w:val="none" w:sz="0" w:space="0" w:color="auto"/>
                                                    <w:left w:val="none" w:sz="0" w:space="0" w:color="auto"/>
                                                    <w:bottom w:val="none" w:sz="0" w:space="0" w:color="auto"/>
                                                    <w:right w:val="none" w:sz="0" w:space="0" w:color="auto"/>
                                                  </w:divBdr>
                                                  <w:divsChild>
                                                    <w:div w:id="1784686598">
                                                      <w:marLeft w:val="0"/>
                                                      <w:marRight w:val="0"/>
                                                      <w:marTop w:val="0"/>
                                                      <w:marBottom w:val="0"/>
                                                      <w:divBdr>
                                                        <w:top w:val="none" w:sz="0" w:space="0" w:color="auto"/>
                                                        <w:left w:val="none" w:sz="0" w:space="0" w:color="auto"/>
                                                        <w:bottom w:val="none" w:sz="0" w:space="0" w:color="auto"/>
                                                        <w:right w:val="none" w:sz="0" w:space="0" w:color="auto"/>
                                                      </w:divBdr>
                                                      <w:divsChild>
                                                        <w:div w:id="15690976">
                                                          <w:marLeft w:val="0"/>
                                                          <w:marRight w:val="0"/>
                                                          <w:marTop w:val="0"/>
                                                          <w:marBottom w:val="300"/>
                                                          <w:divBdr>
                                                            <w:top w:val="single" w:sz="6" w:space="0" w:color="CCCCCC"/>
                                                            <w:left w:val="none" w:sz="0" w:space="0" w:color="auto"/>
                                                            <w:bottom w:val="none" w:sz="0" w:space="0" w:color="auto"/>
                                                            <w:right w:val="none" w:sz="0" w:space="0" w:color="auto"/>
                                                          </w:divBdr>
                                                          <w:divsChild>
                                                            <w:div w:id="1011296602">
                                                              <w:marLeft w:val="0"/>
                                                              <w:marRight w:val="0"/>
                                                              <w:marTop w:val="0"/>
                                                              <w:marBottom w:val="0"/>
                                                              <w:divBdr>
                                                                <w:top w:val="none" w:sz="0" w:space="0" w:color="auto"/>
                                                                <w:left w:val="none" w:sz="0" w:space="0" w:color="auto"/>
                                                                <w:bottom w:val="none" w:sz="0" w:space="0" w:color="auto"/>
                                                                <w:right w:val="none" w:sz="0" w:space="0" w:color="auto"/>
                                                              </w:divBdr>
                                                              <w:divsChild>
                                                                <w:div w:id="1002658477">
                                                                  <w:marLeft w:val="0"/>
                                                                  <w:marRight w:val="0"/>
                                                                  <w:marTop w:val="0"/>
                                                                  <w:marBottom w:val="0"/>
                                                                  <w:divBdr>
                                                                    <w:top w:val="none" w:sz="0" w:space="0" w:color="auto"/>
                                                                    <w:left w:val="none" w:sz="0" w:space="0" w:color="auto"/>
                                                                    <w:bottom w:val="none" w:sz="0" w:space="0" w:color="auto"/>
                                                                    <w:right w:val="none" w:sz="0" w:space="0" w:color="auto"/>
                                                                  </w:divBdr>
                                                                  <w:divsChild>
                                                                    <w:div w:id="1683899735">
                                                                      <w:marLeft w:val="0"/>
                                                                      <w:marRight w:val="0"/>
                                                                      <w:marTop w:val="0"/>
                                                                      <w:marBottom w:val="0"/>
                                                                      <w:divBdr>
                                                                        <w:top w:val="none" w:sz="0" w:space="0" w:color="auto"/>
                                                                        <w:left w:val="none" w:sz="0" w:space="0" w:color="auto"/>
                                                                        <w:bottom w:val="none" w:sz="0" w:space="0" w:color="auto"/>
                                                                        <w:right w:val="none" w:sz="0" w:space="0" w:color="auto"/>
                                                                      </w:divBdr>
                                                                      <w:divsChild>
                                                                        <w:div w:id="4809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atoM@comptrib.co.za" TargetMode="External"/><Relationship Id="rId5" Type="http://schemas.openxmlformats.org/officeDocument/2006/relationships/footnotes" Target="footnotes.xml"/><Relationship Id="rId10" Type="http://schemas.openxmlformats.org/officeDocument/2006/relationships/hyperlink" Target="mailto:NandiM@comptrib.co.za" TargetMode="External"/><Relationship Id="rId4" Type="http://schemas.openxmlformats.org/officeDocument/2006/relationships/webSettings" Target="webSettings.xml"/><Relationship Id="rId9" Type="http://schemas.openxmlformats.org/officeDocument/2006/relationships/hyperlink" Target="mailto:NandisileM@liv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dc:creator>
  <cp:lastModifiedBy>user</cp:lastModifiedBy>
  <cp:revision>2</cp:revision>
  <cp:lastPrinted>2014-08-04T10:34:00Z</cp:lastPrinted>
  <dcterms:created xsi:type="dcterms:W3CDTF">2014-08-21T15:49:00Z</dcterms:created>
  <dcterms:modified xsi:type="dcterms:W3CDTF">2014-08-21T15:49:00Z</dcterms:modified>
</cp:coreProperties>
</file>