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8262700"/>
        <w:lock w:val="contentLocked"/>
        <w:placeholder>
          <w:docPart w:val="CD4D577FD0DA48F19071D337F73624F9"/>
        </w:placeholder>
        <w:group/>
      </w:sdtPr>
      <w:sdtContent>
        <w:sdt>
          <w:sdtPr>
            <w:id w:val="98262698"/>
            <w:lock w:val="contentLocked"/>
            <w:picture/>
          </w:sdtPr>
          <w:sdtContent>
            <w:p w:rsidR="005965A9" w:rsidRDefault="005965A9" w:rsidP="00324ECE">
              <w:pPr>
                <w:pStyle w:val="Heading1"/>
                <w:jc w:val="center"/>
              </w:pPr>
              <w:r>
                <w:rPr>
                  <w:noProof/>
                  <w:lang w:eastAsia="en-ZA"/>
                </w:rPr>
                <w:drawing>
                  <wp:inline distT="0" distB="0" distL="0" distR="0">
                    <wp:extent cx="1000125" cy="657387"/>
                    <wp:effectExtent l="19050" t="0" r="9525" b="0"/>
                    <wp:docPr id="2"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etion.jpg"/>
                            <pic:cNvPicPr/>
                          </pic:nvPicPr>
                          <pic:blipFill>
                            <a:blip r:embed="rId8" cstate="print"/>
                            <a:stretch>
                              <a:fillRect/>
                            </a:stretch>
                          </pic:blipFill>
                          <pic:spPr>
                            <a:xfrm>
                              <a:off x="0" y="0"/>
                              <a:ext cx="1014423" cy="666785"/>
                            </a:xfrm>
                            <a:prstGeom prst="rect">
                              <a:avLst/>
                            </a:prstGeom>
                          </pic:spPr>
                        </pic:pic>
                      </a:graphicData>
                    </a:graphic>
                  </wp:inline>
                </w:drawing>
              </w:r>
            </w:p>
          </w:sdtContent>
        </w:sdt>
        <w:p w:rsidR="005965A9" w:rsidRDefault="005965A9" w:rsidP="00324ECE">
          <w:pPr>
            <w:pStyle w:val="Heading1"/>
            <w:jc w:val="center"/>
          </w:pPr>
        </w:p>
        <w:p w:rsidR="005965A9" w:rsidRDefault="005965A9" w:rsidP="00324ECE">
          <w:pPr>
            <w:pStyle w:val="Heading1"/>
            <w:jc w:val="center"/>
          </w:pPr>
        </w:p>
        <w:sdt>
          <w:sdtPr>
            <w:id w:val="98262699"/>
            <w:lock w:val="contentLocked"/>
            <w:placeholder>
              <w:docPart w:val="CD4D577FD0DA48F19071D337F73624F9"/>
            </w:placeholder>
            <w:text/>
          </w:sdtPr>
          <w:sdtContent>
            <w:p w:rsidR="005965A9" w:rsidRDefault="005965A9" w:rsidP="00324ECE">
              <w:pPr>
                <w:pStyle w:val="Heading1"/>
                <w:ind w:firstLine="720"/>
                <w:jc w:val="center"/>
              </w:pPr>
              <w:r w:rsidRPr="00ED651D">
                <w:rPr>
                  <w:sz w:val="24"/>
                  <w:szCs w:val="24"/>
                </w:rPr>
                <w:t>COMPETITION TRIBUNAL OF SOUTH AFRICA</w:t>
              </w:r>
            </w:p>
          </w:sdtContent>
        </w:sdt>
      </w:sdtContent>
    </w:sdt>
    <w:p w:rsidR="005965A9" w:rsidRDefault="005965A9" w:rsidP="00324ECE"/>
    <w:p w:rsidR="005965A9" w:rsidRPr="00D363A7" w:rsidRDefault="005965A9" w:rsidP="00324ECE"/>
    <w:p w:rsidR="005965A9" w:rsidRDefault="005965A9" w:rsidP="00324ECE"/>
    <w:p w:rsidR="005965A9" w:rsidRDefault="00F54B76" w:rsidP="00324ECE">
      <w:pPr>
        <w:pStyle w:val="Heading2"/>
        <w:ind w:left="5040"/>
        <w:jc w:val="left"/>
      </w:pPr>
      <w:sdt>
        <w:sdtPr>
          <w:id w:val="98262680"/>
          <w:lock w:val="contentLocked"/>
          <w:placeholder>
            <w:docPart w:val="CD4D577FD0DA48F19071D337F73624F9"/>
          </w:placeholder>
          <w:text/>
        </w:sdtPr>
        <w:sdtContent>
          <w:r w:rsidR="005965A9" w:rsidRPr="001C7E27">
            <w:rPr>
              <w:sz w:val="24"/>
              <w:szCs w:val="24"/>
            </w:rPr>
            <w:t>Case No:</w:t>
          </w:r>
        </w:sdtContent>
      </w:sdt>
      <w:sdt>
        <w:sdtPr>
          <w:id w:val="98262720"/>
          <w:placeholder>
            <w:docPart w:val="CD4D577FD0DA48F19071D337F73624F9"/>
          </w:placeholder>
        </w:sdtPr>
        <w:sdtContent>
          <w:r w:rsidR="00D2350C">
            <w:t xml:space="preserve"> </w:t>
          </w:r>
          <w:r w:rsidR="00FD77A7">
            <w:rPr>
              <w:sz w:val="24"/>
              <w:szCs w:val="24"/>
            </w:rPr>
            <w:t>106/LM/Dec</w:t>
          </w:r>
          <w:r w:rsidR="005965A9">
            <w:rPr>
              <w:sz w:val="24"/>
              <w:szCs w:val="24"/>
            </w:rPr>
            <w:t>1</w:t>
          </w:r>
          <w:r w:rsidR="00A54869">
            <w:rPr>
              <w:sz w:val="24"/>
              <w:szCs w:val="24"/>
            </w:rPr>
            <w:t>1</w:t>
          </w:r>
        </w:sdtContent>
      </w:sdt>
    </w:p>
    <w:p w:rsidR="00D16F8C" w:rsidRPr="00D16F8C" w:rsidRDefault="00D16F8C" w:rsidP="00324ECE">
      <w:pPr>
        <w:rPr>
          <w:rFonts w:ascii="Arial" w:hAnsi="Arial" w:cs="Arial"/>
        </w:rPr>
      </w:pPr>
      <w:r>
        <w:tab/>
      </w:r>
      <w:r>
        <w:tab/>
      </w:r>
      <w:r>
        <w:tab/>
      </w:r>
      <w:r>
        <w:tab/>
      </w:r>
      <w:r>
        <w:tab/>
      </w:r>
      <w:r>
        <w:tab/>
      </w:r>
      <w:r>
        <w:tab/>
      </w:r>
      <w:r>
        <w:tab/>
      </w:r>
      <w:r>
        <w:tab/>
      </w:r>
      <w:r w:rsidRPr="00D16F8C">
        <w:rPr>
          <w:rFonts w:ascii="Arial" w:hAnsi="Arial" w:cs="Arial"/>
        </w:rPr>
        <w:t>[</w:t>
      </w:r>
      <w:r w:rsidRPr="00D16F8C">
        <w:rPr>
          <w:rFonts w:ascii="Arial" w:hAnsi="Arial" w:cs="Arial"/>
          <w:b/>
        </w:rPr>
        <w:t>013730</w:t>
      </w:r>
      <w:r w:rsidRPr="00D16F8C">
        <w:rPr>
          <w:rFonts w:ascii="Arial" w:hAnsi="Arial" w:cs="Arial"/>
        </w:rPr>
        <w:t>]</w:t>
      </w:r>
    </w:p>
    <w:p w:rsidR="005965A9" w:rsidRPr="00D363A7" w:rsidRDefault="005965A9" w:rsidP="00324ECE"/>
    <w:sdt>
      <w:sdtPr>
        <w:rPr>
          <w:b w:val="0"/>
          <w:bCs w:val="0"/>
        </w:rPr>
        <w:id w:val="98262679"/>
        <w:lock w:val="contentLocked"/>
        <w:placeholder>
          <w:docPart w:val="CD4D577FD0DA48F19071D337F73624F9"/>
        </w:placeholder>
        <w:text/>
      </w:sdtPr>
      <w:sdtContent>
        <w:p w:rsidR="005965A9" w:rsidRPr="00D363A7" w:rsidRDefault="005965A9" w:rsidP="00324ECE">
          <w:pPr>
            <w:pStyle w:val="Heading2"/>
            <w:jc w:val="left"/>
          </w:pPr>
          <w:r w:rsidRPr="001C7E27">
            <w:rPr>
              <w:b w:val="0"/>
              <w:bCs w:val="0"/>
              <w:sz w:val="24"/>
              <w:szCs w:val="24"/>
            </w:rPr>
            <w:t>In the matter between:</w:t>
          </w:r>
        </w:p>
      </w:sdtContent>
    </w:sdt>
    <w:p w:rsidR="005965A9" w:rsidRPr="00D363A7" w:rsidRDefault="005965A9" w:rsidP="00324ECE"/>
    <w:p w:rsidR="005965A9" w:rsidRPr="00D363A7" w:rsidRDefault="005965A9" w:rsidP="00324ECE"/>
    <w:p w:rsidR="005965A9" w:rsidRPr="00D363A7" w:rsidRDefault="00F54B76" w:rsidP="00324ECE">
      <w:pPr>
        <w:pStyle w:val="BodyText"/>
        <w:jc w:val="left"/>
      </w:pPr>
      <w:sdt>
        <w:sdtPr>
          <w:rPr>
            <w:b/>
          </w:rPr>
          <w:id w:val="98262758"/>
          <w:placeholder>
            <w:docPart w:val="CD4D577FD0DA48F19071D337F73624F9"/>
          </w:placeholder>
        </w:sdtPr>
        <w:sdtContent>
          <w:r w:rsidR="00FD77A7" w:rsidRPr="00F0507B">
            <w:rPr>
              <w:b/>
              <w:bCs/>
              <w:iCs/>
              <w:sz w:val="24"/>
              <w:szCs w:val="24"/>
            </w:rPr>
            <w:t xml:space="preserve">Nedbank </w:t>
          </w:r>
          <w:r w:rsidR="00BE2E62" w:rsidRPr="00F0507B">
            <w:rPr>
              <w:b/>
              <w:bCs/>
              <w:iCs/>
              <w:sz w:val="24"/>
              <w:szCs w:val="24"/>
            </w:rPr>
            <w:t>Ltd</w:t>
          </w:r>
          <w:r w:rsidR="005965A9">
            <w:rPr>
              <w:bCs/>
              <w:iCs/>
              <w:szCs w:val="32"/>
            </w:rPr>
            <w:t xml:space="preserve"> </w:t>
          </w:r>
        </w:sdtContent>
      </w:sdt>
      <w:r w:rsidR="00BE2E62">
        <w:tab/>
        <w:t xml:space="preserve">        </w:t>
      </w:r>
      <w:r w:rsidR="00BE2E62">
        <w:tab/>
      </w:r>
      <w:r w:rsidR="00BE2E62">
        <w:tab/>
        <w:t xml:space="preserve">   </w:t>
      </w:r>
      <w:r w:rsidR="00BE2E62">
        <w:tab/>
      </w:r>
      <w:r w:rsidR="009507C6">
        <w:tab/>
      </w:r>
      <w:r w:rsidR="009507C6">
        <w:tab/>
      </w:r>
      <w:r w:rsidR="00FD77A7">
        <w:tab/>
      </w:r>
      <w:r w:rsidR="005965A9" w:rsidRPr="001C7E27">
        <w:rPr>
          <w:sz w:val="24"/>
          <w:szCs w:val="24"/>
        </w:rPr>
        <w:t>Acquiring Firm</w:t>
      </w:r>
    </w:p>
    <w:p w:rsidR="005965A9" w:rsidRPr="00D363A7" w:rsidRDefault="005965A9" w:rsidP="00324ECE"/>
    <w:sdt>
      <w:sdtPr>
        <w:rPr>
          <w:b w:val="0"/>
          <w:bCs w:val="0"/>
          <w:u w:val="none"/>
        </w:rPr>
        <w:id w:val="98262684"/>
        <w:lock w:val="contentLocked"/>
        <w:placeholder>
          <w:docPart w:val="CD4D577FD0DA48F19071D337F73624F9"/>
        </w:placeholder>
        <w:text/>
      </w:sdtPr>
      <w:sdtContent>
        <w:p w:rsidR="005965A9" w:rsidRPr="00D363A7" w:rsidRDefault="005965A9" w:rsidP="00324ECE">
          <w:pPr>
            <w:pStyle w:val="Heading3"/>
            <w:spacing w:line="240" w:lineRule="auto"/>
          </w:pPr>
          <w:r w:rsidRPr="001C7E27">
            <w:rPr>
              <w:b w:val="0"/>
              <w:bCs w:val="0"/>
              <w:sz w:val="24"/>
              <w:szCs w:val="24"/>
              <w:u w:val="none"/>
            </w:rPr>
            <w:t>And</w:t>
          </w:r>
        </w:p>
      </w:sdtContent>
    </w:sdt>
    <w:p w:rsidR="005965A9" w:rsidRPr="00D363A7" w:rsidRDefault="005965A9" w:rsidP="00324ECE"/>
    <w:p w:rsidR="005965A9" w:rsidRDefault="00F54B76" w:rsidP="00324ECE">
      <w:pPr>
        <w:pStyle w:val="BodyText"/>
        <w:spacing w:line="240" w:lineRule="auto"/>
      </w:pPr>
      <w:sdt>
        <w:sdtPr>
          <w:rPr>
            <w:rStyle w:val="Style2"/>
          </w:rPr>
          <w:id w:val="98262759"/>
          <w:placeholder>
            <w:docPart w:val="CD4D577FD0DA48F19071D337F73624F9"/>
          </w:placeholder>
        </w:sdtPr>
        <w:sdtContent>
          <w:r w:rsidR="00FD77A7" w:rsidRPr="00F0507B">
            <w:rPr>
              <w:b/>
              <w:bCs/>
              <w:iCs/>
              <w:sz w:val="24"/>
              <w:szCs w:val="24"/>
            </w:rPr>
            <w:t>Emergent Investments (Pty) Ltd</w:t>
          </w:r>
          <w:r w:rsidR="005965A9">
            <w:rPr>
              <w:bCs/>
              <w:iCs/>
              <w:szCs w:val="32"/>
            </w:rPr>
            <w:t xml:space="preserve"> </w:t>
          </w:r>
        </w:sdtContent>
      </w:sdt>
      <w:r w:rsidR="005965A9">
        <w:t xml:space="preserve">                  </w:t>
      </w:r>
      <w:r w:rsidR="005965A9">
        <w:tab/>
        <w:t xml:space="preserve">        </w:t>
      </w:r>
      <w:r w:rsidR="006D06D0">
        <w:tab/>
      </w:r>
      <w:r w:rsidR="005965A9">
        <w:tab/>
      </w:r>
      <w:sdt>
        <w:sdtPr>
          <w:rPr>
            <w:b/>
            <w:bCs/>
          </w:rPr>
          <w:id w:val="98262682"/>
          <w:lock w:val="contentLocked"/>
          <w:placeholder>
            <w:docPart w:val="CD4D577FD0DA48F19071D337F73624F9"/>
          </w:placeholder>
          <w:text/>
        </w:sdtPr>
        <w:sdtEndPr>
          <w:rPr>
            <w:b w:val="0"/>
            <w:bCs w:val="0"/>
          </w:rPr>
        </w:sdtEndPr>
        <w:sdtContent>
          <w:r w:rsidR="005965A9" w:rsidRPr="001C7E27">
            <w:rPr>
              <w:sz w:val="24"/>
              <w:szCs w:val="24"/>
            </w:rPr>
            <w:t>Target Firm</w:t>
          </w:r>
        </w:sdtContent>
      </w:sdt>
    </w:p>
    <w:p w:rsidR="005965A9" w:rsidRPr="00D363A7" w:rsidRDefault="005965A9" w:rsidP="00324ECE"/>
    <w:p w:rsidR="005965A9" w:rsidRPr="00D363A7" w:rsidRDefault="00F54B76" w:rsidP="00324ECE">
      <w:r w:rsidRPr="00F54B76">
        <w:pict>
          <v:line id="_x0000_s1026" style="position:absolute;z-index:251660288" from="0,4.85pt" to="414pt,4.85pt"/>
        </w:pict>
      </w:r>
    </w:p>
    <w:p w:rsidR="005965A9" w:rsidRPr="002357EB" w:rsidRDefault="005965A9" w:rsidP="00324ECE"/>
    <w:p w:rsidR="005965A9" w:rsidRPr="00F0507B" w:rsidRDefault="00F54B76" w:rsidP="00324ECE">
      <w:pPr>
        <w:ind w:left="720" w:hanging="720"/>
        <w:rPr>
          <w:rFonts w:ascii="Arial" w:hAnsi="Arial" w:cs="Arial"/>
        </w:rPr>
      </w:pPr>
      <w:sdt>
        <w:sdtPr>
          <w:rPr>
            <w:rFonts w:ascii="Arial" w:hAnsi="Arial" w:cs="Arial"/>
            <w:sz w:val="22"/>
            <w:szCs w:val="22"/>
          </w:rPr>
          <w:id w:val="98262778"/>
          <w:placeholder>
            <w:docPart w:val="CD4D577FD0DA48F19071D337F73624F9"/>
          </w:placeholder>
          <w:text/>
        </w:sdtPr>
        <w:sdtContent>
          <w:r w:rsidR="005965A9" w:rsidRPr="00A55ACE">
            <w:rPr>
              <w:rFonts w:ascii="Arial" w:hAnsi="Arial" w:cs="Arial"/>
            </w:rPr>
            <w:t>Panel</w:t>
          </w:r>
          <w:r w:rsidR="005965A9" w:rsidRPr="00A55ACE">
            <w:rPr>
              <w:rFonts w:ascii="Arial" w:hAnsi="Arial" w:cs="Arial"/>
            </w:rPr>
            <w:tab/>
          </w:r>
          <w:r w:rsidR="005965A9" w:rsidRPr="00A55ACE">
            <w:rPr>
              <w:rFonts w:ascii="Arial" w:hAnsi="Arial" w:cs="Arial"/>
            </w:rPr>
            <w:tab/>
          </w:r>
          <w:r w:rsidR="005965A9" w:rsidRPr="00A55ACE">
            <w:rPr>
              <w:rFonts w:ascii="Arial" w:hAnsi="Arial" w:cs="Arial"/>
            </w:rPr>
            <w:tab/>
            <w:t>:</w:t>
          </w:r>
        </w:sdtContent>
      </w:sdt>
      <w:r w:rsidR="005965A9" w:rsidRPr="00A55ACE">
        <w:rPr>
          <w:rFonts w:ascii="Arial" w:hAnsi="Arial" w:cs="Arial"/>
        </w:rPr>
        <w:tab/>
      </w:r>
      <w:sdt>
        <w:sdtPr>
          <w:rPr>
            <w:rFonts w:ascii="Arial" w:hAnsi="Arial" w:cs="Arial"/>
          </w:rPr>
          <w:id w:val="98263014"/>
          <w:placeholder>
            <w:docPart w:val="CD4D577FD0DA48F19071D337F73624F9"/>
          </w:placeholder>
          <w:text/>
        </w:sdtPr>
        <w:sdtContent>
          <w:r w:rsidR="00FD77A7" w:rsidRPr="00D16F8C">
            <w:rPr>
              <w:rFonts w:ascii="Arial" w:hAnsi="Arial" w:cs="Arial"/>
            </w:rPr>
            <w:t xml:space="preserve">Andreas Wessels </w:t>
          </w:r>
        </w:sdtContent>
      </w:sdt>
      <w:r w:rsidR="005965A9" w:rsidRPr="00D16F8C">
        <w:rPr>
          <w:rFonts w:ascii="Arial" w:hAnsi="Arial" w:cs="Arial"/>
        </w:rPr>
        <w:t>(Presiding Member)</w:t>
      </w:r>
      <w:r w:rsidR="005965A9" w:rsidRPr="00A55ACE">
        <w:rPr>
          <w:rFonts w:ascii="Arial" w:hAnsi="Arial" w:cs="Arial"/>
        </w:rPr>
        <w:tab/>
      </w:r>
      <w:r w:rsidR="005965A9" w:rsidRPr="00A55ACE">
        <w:rPr>
          <w:rFonts w:ascii="Arial" w:hAnsi="Arial" w:cs="Arial"/>
        </w:rPr>
        <w:tab/>
      </w:r>
      <w:r w:rsidR="005965A9" w:rsidRPr="00A55ACE">
        <w:rPr>
          <w:rFonts w:ascii="Arial" w:hAnsi="Arial" w:cs="Arial"/>
        </w:rPr>
        <w:tab/>
      </w:r>
      <w:r w:rsidR="005965A9" w:rsidRPr="00A55ACE">
        <w:rPr>
          <w:rFonts w:ascii="Arial" w:hAnsi="Arial" w:cs="Arial"/>
        </w:rPr>
        <w:tab/>
      </w:r>
      <w:sdt>
        <w:sdtPr>
          <w:rPr>
            <w:rFonts w:ascii="Arial" w:hAnsi="Arial" w:cs="Arial"/>
          </w:rPr>
          <w:id w:val="98263015"/>
          <w:placeholder>
            <w:docPart w:val="CD4D577FD0DA48F19071D337F73624F9"/>
          </w:placeholder>
          <w:text/>
        </w:sdtPr>
        <w:sdtContent>
          <w:r w:rsidR="00FD77A7" w:rsidRPr="00F0507B">
            <w:rPr>
              <w:rFonts w:ascii="Arial" w:hAnsi="Arial" w:cs="Arial"/>
            </w:rPr>
            <w:t xml:space="preserve">           Medi Mokuena </w:t>
          </w:r>
        </w:sdtContent>
      </w:sdt>
      <w:r w:rsidR="005965A9" w:rsidRPr="00F0507B">
        <w:rPr>
          <w:rFonts w:ascii="Arial" w:hAnsi="Arial" w:cs="Arial"/>
        </w:rPr>
        <w:t xml:space="preserve">(Tribunal Member)  </w:t>
      </w:r>
    </w:p>
    <w:p w:rsidR="005965A9" w:rsidRPr="00D16F8C" w:rsidRDefault="00FD77A7" w:rsidP="00324ECE">
      <w:pPr>
        <w:ind w:left="2160" w:firstLine="720"/>
        <w:rPr>
          <w:rFonts w:ascii="Arial" w:hAnsi="Arial" w:cs="Arial"/>
        </w:rPr>
      </w:pPr>
      <w:r w:rsidRPr="00F0507B">
        <w:rPr>
          <w:rFonts w:ascii="Arial" w:hAnsi="Arial" w:cs="Arial"/>
        </w:rPr>
        <w:t>Merle Holden</w:t>
      </w:r>
      <w:r w:rsidR="005965A9" w:rsidRPr="00D16F8C">
        <w:rPr>
          <w:rFonts w:ascii="Arial" w:hAnsi="Arial" w:cs="Arial"/>
        </w:rPr>
        <w:t xml:space="preserve"> (Tribunal Member)</w:t>
      </w:r>
    </w:p>
    <w:p w:rsidR="005965A9" w:rsidRPr="00A55ACE" w:rsidRDefault="00F54B76" w:rsidP="00324ECE">
      <w:pPr>
        <w:rPr>
          <w:rFonts w:ascii="Arial" w:hAnsi="Arial" w:cs="Arial"/>
        </w:rPr>
      </w:pPr>
      <w:sdt>
        <w:sdtPr>
          <w:rPr>
            <w:rFonts w:ascii="Arial" w:hAnsi="Arial" w:cs="Arial"/>
            <w:sz w:val="22"/>
            <w:szCs w:val="22"/>
          </w:rPr>
          <w:id w:val="98262776"/>
          <w:lock w:val="contentLocked"/>
          <w:placeholder>
            <w:docPart w:val="CD4D577FD0DA48F19071D337F73624F9"/>
          </w:placeholder>
          <w:text/>
        </w:sdtPr>
        <w:sdtContent>
          <w:r w:rsidR="005965A9" w:rsidRPr="00A55ACE">
            <w:rPr>
              <w:rFonts w:ascii="Arial" w:hAnsi="Arial" w:cs="Arial"/>
            </w:rPr>
            <w:t>Heard on</w:t>
          </w:r>
          <w:r w:rsidR="005965A9" w:rsidRPr="00A55ACE">
            <w:rPr>
              <w:rFonts w:ascii="Arial" w:hAnsi="Arial" w:cs="Arial"/>
            </w:rPr>
            <w:tab/>
          </w:r>
          <w:r w:rsidR="005965A9" w:rsidRPr="00A55ACE">
            <w:rPr>
              <w:rFonts w:ascii="Arial" w:hAnsi="Arial" w:cs="Arial"/>
            </w:rPr>
            <w:tab/>
            <w:t>:</w:t>
          </w:r>
        </w:sdtContent>
      </w:sdt>
      <w:r w:rsidR="005965A9" w:rsidRPr="00A55ACE">
        <w:rPr>
          <w:rFonts w:ascii="Arial" w:hAnsi="Arial" w:cs="Arial"/>
        </w:rPr>
        <w:tab/>
      </w:r>
      <w:bookmarkStart w:id="0" w:name="_GoBack"/>
      <w:bookmarkEnd w:id="0"/>
      <w:sdt>
        <w:sdtPr>
          <w:rPr>
            <w:rFonts w:ascii="Arial" w:hAnsi="Arial" w:cs="Arial"/>
          </w:rPr>
          <w:id w:val="440033815"/>
        </w:sdtPr>
        <w:sdtContent>
          <w:r w:rsidR="00FD77A7" w:rsidRPr="00F0507B">
            <w:rPr>
              <w:rFonts w:ascii="Arial" w:hAnsi="Arial" w:cs="Arial"/>
            </w:rPr>
            <w:t>22 February 2012</w:t>
          </w:r>
        </w:sdtContent>
      </w:sdt>
    </w:p>
    <w:p w:rsidR="005965A9" w:rsidRPr="00A55ACE" w:rsidRDefault="00F54B76" w:rsidP="00324ECE">
      <w:pPr>
        <w:rPr>
          <w:rFonts w:ascii="Arial" w:hAnsi="Arial" w:cs="Arial"/>
        </w:rPr>
      </w:pPr>
      <w:sdt>
        <w:sdtPr>
          <w:rPr>
            <w:rFonts w:ascii="Arial" w:hAnsi="Arial" w:cs="Arial"/>
            <w:sz w:val="22"/>
            <w:szCs w:val="22"/>
          </w:rPr>
          <w:id w:val="98262775"/>
          <w:lock w:val="contentLocked"/>
          <w:placeholder>
            <w:docPart w:val="CD4D577FD0DA48F19071D337F73624F9"/>
          </w:placeholder>
          <w:text/>
        </w:sdtPr>
        <w:sdtContent>
          <w:r w:rsidR="005965A9" w:rsidRPr="00A55ACE">
            <w:rPr>
              <w:rFonts w:ascii="Arial" w:hAnsi="Arial" w:cs="Arial"/>
            </w:rPr>
            <w:t>Order issued on</w:t>
          </w:r>
          <w:r w:rsidR="005965A9" w:rsidRPr="00A55ACE">
            <w:rPr>
              <w:rFonts w:ascii="Arial" w:hAnsi="Arial" w:cs="Arial"/>
            </w:rPr>
            <w:tab/>
            <w:t>:</w:t>
          </w:r>
        </w:sdtContent>
      </w:sdt>
      <w:r w:rsidR="005965A9" w:rsidRPr="00A55ACE">
        <w:rPr>
          <w:rFonts w:ascii="Arial" w:hAnsi="Arial" w:cs="Arial"/>
        </w:rPr>
        <w:tab/>
      </w:r>
      <w:sdt>
        <w:sdtPr>
          <w:rPr>
            <w:rFonts w:ascii="Arial" w:hAnsi="Arial" w:cs="Arial"/>
          </w:rPr>
          <w:id w:val="98262734"/>
          <w:date w:fullDate="2012-02-22T00:00:00Z">
            <w:dateFormat w:val="dd MMMM yyyy"/>
            <w:lid w:val="en-ZA"/>
            <w:storeMappedDataAs w:val="dateTime"/>
            <w:calendar w:val="gregorian"/>
          </w:date>
        </w:sdtPr>
        <w:sdtContent>
          <w:r w:rsidR="00FD77A7" w:rsidRPr="00F0507B">
            <w:rPr>
              <w:rFonts w:ascii="Arial" w:hAnsi="Arial" w:cs="Arial"/>
              <w:lang w:val="en-ZA"/>
            </w:rPr>
            <w:t>22 February 2012</w:t>
          </w:r>
        </w:sdtContent>
      </w:sdt>
    </w:p>
    <w:p w:rsidR="005965A9" w:rsidRPr="00A55ACE" w:rsidRDefault="00F54B76" w:rsidP="00324ECE">
      <w:pPr>
        <w:rPr>
          <w:rFonts w:ascii="Arial" w:hAnsi="Arial" w:cs="Arial"/>
        </w:rPr>
      </w:pPr>
      <w:sdt>
        <w:sdtPr>
          <w:rPr>
            <w:rFonts w:ascii="Arial" w:hAnsi="Arial" w:cs="Arial"/>
            <w:sz w:val="22"/>
            <w:szCs w:val="22"/>
          </w:rPr>
          <w:id w:val="98262774"/>
          <w:lock w:val="contentLocked"/>
          <w:placeholder>
            <w:docPart w:val="CD4D577FD0DA48F19071D337F73624F9"/>
          </w:placeholder>
          <w:text/>
        </w:sdtPr>
        <w:sdtEndPr>
          <w:rPr>
            <w:sz w:val="24"/>
            <w:szCs w:val="24"/>
          </w:rPr>
        </w:sdtEndPr>
        <w:sdtContent>
          <w:r w:rsidR="005965A9" w:rsidRPr="00A55ACE">
            <w:rPr>
              <w:rFonts w:ascii="Arial" w:hAnsi="Arial" w:cs="Arial"/>
            </w:rPr>
            <w:t>Reasons issued on</w:t>
          </w:r>
          <w:r w:rsidR="005965A9" w:rsidRPr="00A55ACE">
            <w:rPr>
              <w:rFonts w:ascii="Arial" w:hAnsi="Arial" w:cs="Arial"/>
            </w:rPr>
            <w:tab/>
            <w:t>:</w:t>
          </w:r>
        </w:sdtContent>
      </w:sdt>
      <w:r w:rsidR="005965A9" w:rsidRPr="00A55ACE">
        <w:rPr>
          <w:rFonts w:ascii="Arial" w:hAnsi="Arial" w:cs="Arial"/>
        </w:rPr>
        <w:tab/>
      </w:r>
      <w:sdt>
        <w:sdtPr>
          <w:rPr>
            <w:rFonts w:ascii="Arial" w:hAnsi="Arial" w:cs="Arial"/>
          </w:rPr>
          <w:id w:val="98262736"/>
          <w:date w:fullDate="2012-04-16T00:00:00Z">
            <w:dateFormat w:val="dd MMMM yyyy"/>
            <w:lid w:val="en-ZA"/>
            <w:storeMappedDataAs w:val="dateTime"/>
            <w:calendar w:val="gregorian"/>
          </w:date>
        </w:sdtPr>
        <w:sdtContent>
          <w:r w:rsidR="00FD77A7">
            <w:rPr>
              <w:rFonts w:ascii="Arial" w:hAnsi="Arial" w:cs="Arial"/>
              <w:lang w:val="en-ZA"/>
            </w:rPr>
            <w:t>16 April 2012</w:t>
          </w:r>
        </w:sdtContent>
      </w:sdt>
    </w:p>
    <w:p w:rsidR="005965A9" w:rsidRPr="00D363A7" w:rsidRDefault="005965A9" w:rsidP="00324ECE"/>
    <w:p w:rsidR="005965A9" w:rsidRPr="00D363A7" w:rsidRDefault="00F54B76" w:rsidP="00324ECE">
      <w:r w:rsidRPr="00F54B76">
        <w:pict>
          <v:line id="_x0000_s1027" style="position:absolute;z-index:251661312" from="0,6.55pt" to="429.55pt,6.55pt" strokeweight="1pt"/>
        </w:pict>
      </w:r>
    </w:p>
    <w:sdt>
      <w:sdtPr>
        <w:id w:val="98262681"/>
        <w:lock w:val="contentLocked"/>
        <w:placeholder>
          <w:docPart w:val="CD4D577FD0DA48F19071D337F73624F9"/>
        </w:placeholder>
        <w:text/>
      </w:sdtPr>
      <w:sdtContent>
        <w:p w:rsidR="005965A9" w:rsidRDefault="005965A9" w:rsidP="00324ECE">
          <w:pPr>
            <w:pStyle w:val="Heading2"/>
            <w:spacing w:line="360" w:lineRule="auto"/>
          </w:pPr>
          <w:r w:rsidRPr="006A2E06">
            <w:rPr>
              <w:sz w:val="24"/>
              <w:szCs w:val="24"/>
            </w:rPr>
            <w:t>Reasons for Decision</w:t>
          </w:r>
        </w:p>
      </w:sdtContent>
    </w:sdt>
    <w:p w:rsidR="005965A9" w:rsidRPr="00D363A7" w:rsidRDefault="00F54B76" w:rsidP="00324ECE">
      <w:r w:rsidRPr="00F54B76">
        <w:pict>
          <v:line id="_x0000_s1028" style="position:absolute;z-index:251662336" from="0,4.6pt" to="429.55pt,4.6pt" strokeweight="1pt"/>
        </w:pict>
      </w:r>
    </w:p>
    <w:p w:rsidR="005965A9" w:rsidRPr="00423F36" w:rsidRDefault="005965A9" w:rsidP="00324ECE"/>
    <w:sdt>
      <w:sdtPr>
        <w:rPr>
          <w:rFonts w:ascii="Arial" w:hAnsi="Arial" w:cs="Arial"/>
          <w:b/>
        </w:rPr>
        <w:id w:val="98262773"/>
        <w:placeholder>
          <w:docPart w:val="CD4D577FD0DA48F19071D337F73624F9"/>
        </w:placeholder>
        <w:text/>
      </w:sdtPr>
      <w:sdtContent>
        <w:p w:rsidR="005965A9" w:rsidRPr="00423F36" w:rsidRDefault="005E07E4" w:rsidP="00324ECE">
          <w:pPr>
            <w:spacing w:line="360" w:lineRule="auto"/>
          </w:pPr>
          <w:r>
            <w:rPr>
              <w:rFonts w:ascii="Arial" w:hAnsi="Arial" w:cs="Arial"/>
              <w:b/>
            </w:rPr>
            <w:t>Approval</w:t>
          </w:r>
        </w:p>
      </w:sdtContent>
    </w:sdt>
    <w:p w:rsidR="005965A9" w:rsidRPr="00423F36" w:rsidRDefault="005965A9" w:rsidP="00D76D2B">
      <w:pPr>
        <w:pStyle w:val="NoSpacing"/>
      </w:pPr>
    </w:p>
    <w:p w:rsidR="00FD77A7" w:rsidRPr="00F0507B" w:rsidRDefault="00FD77A7" w:rsidP="00324ECE">
      <w:pPr>
        <w:pStyle w:val="ListParagraph"/>
        <w:numPr>
          <w:ilvl w:val="0"/>
          <w:numId w:val="1"/>
        </w:numPr>
        <w:spacing w:line="360" w:lineRule="auto"/>
        <w:ind w:left="357" w:hanging="357"/>
        <w:jc w:val="both"/>
        <w:rPr>
          <w:rFonts w:ascii="Arial" w:hAnsi="Arial" w:cs="Arial"/>
        </w:rPr>
      </w:pPr>
      <w:r w:rsidRPr="00F0507B">
        <w:rPr>
          <w:rFonts w:ascii="Arial" w:hAnsi="Arial" w:cs="Arial"/>
        </w:rPr>
        <w:t>On 22 February</w:t>
      </w:r>
      <w:r w:rsidR="00BE2E62" w:rsidRPr="00F0507B">
        <w:rPr>
          <w:rFonts w:ascii="Arial" w:hAnsi="Arial" w:cs="Arial"/>
        </w:rPr>
        <w:t xml:space="preserve"> </w:t>
      </w:r>
      <w:r w:rsidRPr="00F0507B">
        <w:rPr>
          <w:rFonts w:ascii="Arial" w:hAnsi="Arial" w:cs="Arial"/>
        </w:rPr>
        <w:t>2012</w:t>
      </w:r>
      <w:r w:rsidR="005965A9" w:rsidRPr="00F0507B">
        <w:rPr>
          <w:rFonts w:ascii="Arial" w:hAnsi="Arial" w:cs="Arial"/>
        </w:rPr>
        <w:t xml:space="preserve"> the Competition Tribunal (“Tribunal”) </w:t>
      </w:r>
      <w:r w:rsidRPr="00F0507B">
        <w:rPr>
          <w:rFonts w:ascii="Arial" w:hAnsi="Arial" w:cs="Arial"/>
        </w:rPr>
        <w:t xml:space="preserve">unconditionally </w:t>
      </w:r>
      <w:r w:rsidR="005965A9" w:rsidRPr="00F0507B">
        <w:rPr>
          <w:rFonts w:ascii="Arial" w:hAnsi="Arial" w:cs="Arial"/>
        </w:rPr>
        <w:t xml:space="preserve">approved the </w:t>
      </w:r>
      <w:r w:rsidR="00C6616C" w:rsidRPr="00F0507B">
        <w:rPr>
          <w:rFonts w:ascii="Arial" w:hAnsi="Arial" w:cs="Arial"/>
        </w:rPr>
        <w:t>acquisition by</w:t>
      </w:r>
      <w:r w:rsidRPr="00F0507B">
        <w:rPr>
          <w:rFonts w:ascii="Arial" w:hAnsi="Arial" w:cs="Arial"/>
        </w:rPr>
        <w:t xml:space="preserve"> Nedbank Ltd of Emergent Investments (Pty) Ltd. The reasons for the approval follow bel</w:t>
      </w:r>
      <w:r w:rsidR="00B25E69" w:rsidRPr="00F0507B">
        <w:rPr>
          <w:rFonts w:ascii="Arial" w:hAnsi="Arial" w:cs="Arial"/>
        </w:rPr>
        <w:t>ow.</w:t>
      </w:r>
    </w:p>
    <w:p w:rsidR="005E07E4" w:rsidRPr="00F0507B" w:rsidRDefault="005E07E4" w:rsidP="005E07E4">
      <w:pPr>
        <w:spacing w:line="360" w:lineRule="auto"/>
        <w:jc w:val="both"/>
        <w:rPr>
          <w:rFonts w:ascii="Arial" w:hAnsi="Arial" w:cs="Arial"/>
        </w:rPr>
      </w:pPr>
    </w:p>
    <w:p w:rsidR="005E07E4" w:rsidRDefault="005E07E4" w:rsidP="005E07E4">
      <w:pPr>
        <w:spacing w:line="360" w:lineRule="auto"/>
        <w:jc w:val="both"/>
        <w:rPr>
          <w:rFonts w:ascii="Arial" w:hAnsi="Arial" w:cs="Arial"/>
        </w:rPr>
      </w:pPr>
    </w:p>
    <w:p w:rsidR="00F0507B" w:rsidRPr="00F0507B" w:rsidRDefault="00F0507B" w:rsidP="005E07E4">
      <w:pPr>
        <w:spacing w:line="360" w:lineRule="auto"/>
        <w:jc w:val="both"/>
        <w:rPr>
          <w:rFonts w:ascii="Arial" w:hAnsi="Arial" w:cs="Arial"/>
        </w:rPr>
      </w:pPr>
    </w:p>
    <w:p w:rsidR="005E07E4" w:rsidRPr="00F0507B" w:rsidRDefault="005E07E4" w:rsidP="005E07E4">
      <w:pPr>
        <w:spacing w:line="360" w:lineRule="auto"/>
        <w:jc w:val="both"/>
        <w:rPr>
          <w:rFonts w:ascii="Arial" w:hAnsi="Arial" w:cs="Arial"/>
        </w:rPr>
      </w:pPr>
    </w:p>
    <w:p w:rsidR="005965A9" w:rsidRPr="00F0507B" w:rsidRDefault="005965A9" w:rsidP="005E07E4">
      <w:pPr>
        <w:pStyle w:val="ListParagraph"/>
        <w:spacing w:line="360" w:lineRule="auto"/>
        <w:ind w:left="357"/>
        <w:jc w:val="both"/>
        <w:rPr>
          <w:rFonts w:ascii="Arial" w:hAnsi="Arial" w:cs="Arial"/>
        </w:rPr>
      </w:pPr>
    </w:p>
    <w:sdt>
      <w:sdtPr>
        <w:rPr>
          <w:rFonts w:ascii="Arial" w:hAnsi="Arial" w:cs="Arial"/>
          <w:b/>
        </w:rPr>
        <w:id w:val="98262777"/>
        <w:text/>
      </w:sdtPr>
      <w:sdtContent>
        <w:p w:rsidR="005E07E4" w:rsidRPr="00F0507B" w:rsidRDefault="00035615" w:rsidP="005E07E4">
          <w:pPr>
            <w:spacing w:line="360" w:lineRule="auto"/>
            <w:rPr>
              <w:rFonts w:ascii="Arial" w:hAnsi="Arial" w:cs="Arial"/>
              <w:b/>
            </w:rPr>
          </w:pPr>
          <w:r w:rsidRPr="00F0507B">
            <w:rPr>
              <w:rFonts w:ascii="Arial" w:hAnsi="Arial" w:cs="Arial"/>
              <w:b/>
            </w:rPr>
            <w:t>Parties</w:t>
          </w:r>
          <w:r w:rsidR="005E07E4" w:rsidRPr="00F0507B">
            <w:rPr>
              <w:rFonts w:ascii="Arial" w:hAnsi="Arial" w:cs="Arial"/>
              <w:b/>
            </w:rPr>
            <w:t xml:space="preserve"> and their activities</w:t>
          </w:r>
          <w:r w:rsidR="005965A9" w:rsidRPr="00F0507B">
            <w:rPr>
              <w:rFonts w:ascii="Arial" w:hAnsi="Arial" w:cs="Arial"/>
              <w:b/>
            </w:rPr>
            <w:t xml:space="preserve"> </w:t>
          </w:r>
        </w:p>
      </w:sdtContent>
    </w:sdt>
    <w:p w:rsidR="005E07E4" w:rsidRPr="00F0507B" w:rsidRDefault="005E07E4" w:rsidP="00BB7DC8">
      <w:pPr>
        <w:pStyle w:val="NoSpacing"/>
      </w:pPr>
    </w:p>
    <w:p w:rsidR="005E07E4" w:rsidRPr="00F0507B" w:rsidRDefault="005E07E4" w:rsidP="005E07E4">
      <w:pPr>
        <w:pStyle w:val="ListParagraph"/>
        <w:numPr>
          <w:ilvl w:val="0"/>
          <w:numId w:val="1"/>
        </w:numPr>
        <w:spacing w:line="360" w:lineRule="auto"/>
        <w:jc w:val="both"/>
        <w:rPr>
          <w:rFonts w:ascii="Arial" w:hAnsi="Arial" w:cs="Arial"/>
        </w:rPr>
      </w:pPr>
      <w:r w:rsidRPr="00F0507B">
        <w:rPr>
          <w:rFonts w:ascii="Arial" w:hAnsi="Arial" w:cs="Arial"/>
        </w:rPr>
        <w:t>The primary acquiring firm is Nedbank Ltd (“Nedbank”), a public company incorporated in terms of the laws of the Republic of South Africa. Nedbank is controlled by the Nedbank Group Ltd (“Nedbank Group”), which is in turn controlled by Old Mutual (South Africa</w:t>
      </w:r>
      <w:r w:rsidR="00035615" w:rsidRPr="00F0507B">
        <w:rPr>
          <w:rFonts w:ascii="Arial" w:hAnsi="Arial" w:cs="Arial"/>
        </w:rPr>
        <w:t>)</w:t>
      </w:r>
      <w:r w:rsidRPr="00F0507B">
        <w:rPr>
          <w:rFonts w:ascii="Arial" w:hAnsi="Arial" w:cs="Arial"/>
        </w:rPr>
        <w:t xml:space="preserve"> </w:t>
      </w:r>
      <w:r w:rsidR="00D57B00" w:rsidRPr="00F0507B">
        <w:rPr>
          <w:rFonts w:ascii="Arial" w:hAnsi="Arial" w:cs="Arial"/>
        </w:rPr>
        <w:t>L</w:t>
      </w:r>
      <w:r w:rsidR="002E17F8">
        <w:rPr>
          <w:rFonts w:ascii="Arial" w:hAnsi="Arial" w:cs="Arial"/>
        </w:rPr>
        <w:t>td</w:t>
      </w:r>
      <w:r w:rsidR="00D57B00" w:rsidRPr="00F0507B">
        <w:rPr>
          <w:rFonts w:ascii="Arial" w:hAnsi="Arial" w:cs="Arial"/>
        </w:rPr>
        <w:t xml:space="preserve"> </w:t>
      </w:r>
      <w:r w:rsidRPr="00F0507B">
        <w:rPr>
          <w:rFonts w:ascii="Arial" w:hAnsi="Arial" w:cs="Arial"/>
        </w:rPr>
        <w:t xml:space="preserve">(“OMSA”). OMSA is indirectly controlled by Old Mutual plc. Nedbank has </w:t>
      </w:r>
      <w:r w:rsidR="00D57B00" w:rsidRPr="00F0507B">
        <w:rPr>
          <w:rFonts w:ascii="Arial" w:hAnsi="Arial" w:cs="Arial"/>
        </w:rPr>
        <w:t xml:space="preserve">a number of </w:t>
      </w:r>
      <w:r w:rsidRPr="00F0507B">
        <w:rPr>
          <w:rFonts w:ascii="Arial" w:hAnsi="Arial" w:cs="Arial"/>
        </w:rPr>
        <w:t>subsidiaries</w:t>
      </w:r>
      <w:r w:rsidR="00D57B00" w:rsidRPr="00F0507B">
        <w:rPr>
          <w:rFonts w:ascii="Arial" w:hAnsi="Arial" w:cs="Arial"/>
        </w:rPr>
        <w:t>.</w:t>
      </w:r>
      <w:r w:rsidRPr="00F0507B">
        <w:rPr>
          <w:rFonts w:ascii="Arial" w:hAnsi="Arial" w:cs="Arial"/>
        </w:rPr>
        <w:t xml:space="preserve"> </w:t>
      </w:r>
    </w:p>
    <w:p w:rsidR="005E07E4" w:rsidRPr="00F0507B" w:rsidRDefault="005E07E4" w:rsidP="00450C24">
      <w:pPr>
        <w:pStyle w:val="NoSpacing"/>
      </w:pPr>
    </w:p>
    <w:p w:rsidR="005E07E4" w:rsidRPr="00F0507B" w:rsidRDefault="005E07E4" w:rsidP="005E07E4">
      <w:pPr>
        <w:pStyle w:val="ListParagraph"/>
        <w:numPr>
          <w:ilvl w:val="0"/>
          <w:numId w:val="1"/>
        </w:numPr>
        <w:spacing w:line="360" w:lineRule="auto"/>
        <w:jc w:val="both"/>
        <w:rPr>
          <w:rFonts w:ascii="Arial" w:hAnsi="Arial" w:cs="Arial"/>
        </w:rPr>
      </w:pPr>
      <w:r w:rsidRPr="00F0507B">
        <w:rPr>
          <w:rFonts w:ascii="Arial" w:hAnsi="Arial" w:cs="Arial"/>
        </w:rPr>
        <w:t xml:space="preserve">Nedbank is involved in </w:t>
      </w:r>
      <w:r w:rsidR="0068021A" w:rsidRPr="00F0507B">
        <w:rPr>
          <w:rFonts w:ascii="Arial" w:hAnsi="Arial" w:cs="Arial"/>
          <w:i/>
        </w:rPr>
        <w:t>inter alia</w:t>
      </w:r>
      <w:r w:rsidR="0068021A" w:rsidRPr="00F0507B">
        <w:rPr>
          <w:rFonts w:ascii="Arial" w:hAnsi="Arial" w:cs="Arial"/>
        </w:rPr>
        <w:t xml:space="preserve"> </w:t>
      </w:r>
      <w:r w:rsidRPr="00F0507B">
        <w:rPr>
          <w:rFonts w:ascii="Arial" w:hAnsi="Arial" w:cs="Arial"/>
        </w:rPr>
        <w:t>corporate and retail banking, investment banking, private banking, securities trading</w:t>
      </w:r>
      <w:r w:rsidR="0068021A" w:rsidRPr="00F0507B">
        <w:rPr>
          <w:rFonts w:ascii="Arial" w:hAnsi="Arial" w:cs="Arial"/>
        </w:rPr>
        <w:t>,</w:t>
      </w:r>
      <w:r w:rsidRPr="00F0507B">
        <w:rPr>
          <w:rFonts w:ascii="Arial" w:hAnsi="Arial" w:cs="Arial"/>
        </w:rPr>
        <w:t xml:space="preserve"> foreign exchange and property financing. For purposes of </w:t>
      </w:r>
      <w:r w:rsidR="002E17F8">
        <w:rPr>
          <w:rFonts w:ascii="Arial" w:hAnsi="Arial" w:cs="Arial"/>
        </w:rPr>
        <w:t xml:space="preserve">the competition assessment of </w:t>
      </w:r>
      <w:r w:rsidRPr="00F0507B">
        <w:rPr>
          <w:rFonts w:ascii="Arial" w:hAnsi="Arial" w:cs="Arial"/>
        </w:rPr>
        <w:t xml:space="preserve">this transaction only the property </w:t>
      </w:r>
      <w:r w:rsidR="0068021A" w:rsidRPr="00F0507B">
        <w:rPr>
          <w:rFonts w:ascii="Arial" w:hAnsi="Arial" w:cs="Arial"/>
        </w:rPr>
        <w:t xml:space="preserve">activities </w:t>
      </w:r>
      <w:r w:rsidRPr="00F0507B">
        <w:rPr>
          <w:rFonts w:ascii="Arial" w:hAnsi="Arial" w:cs="Arial"/>
        </w:rPr>
        <w:t xml:space="preserve">of Nedbank </w:t>
      </w:r>
      <w:r w:rsidR="0068021A" w:rsidRPr="00F0507B">
        <w:rPr>
          <w:rFonts w:ascii="Arial" w:hAnsi="Arial" w:cs="Arial"/>
        </w:rPr>
        <w:t xml:space="preserve">Group and OMSA are </w:t>
      </w:r>
      <w:r w:rsidRPr="00F0507B">
        <w:rPr>
          <w:rFonts w:ascii="Arial" w:hAnsi="Arial" w:cs="Arial"/>
        </w:rPr>
        <w:t xml:space="preserve">relevant. Nedbank, through OMSA, holds various properties for </w:t>
      </w:r>
      <w:r w:rsidR="0068021A" w:rsidRPr="00F0507B">
        <w:rPr>
          <w:rFonts w:ascii="Arial" w:hAnsi="Arial" w:cs="Arial"/>
          <w:i/>
        </w:rPr>
        <w:t>inter alia</w:t>
      </w:r>
      <w:r w:rsidR="0068021A" w:rsidRPr="00F0507B">
        <w:rPr>
          <w:rFonts w:ascii="Arial" w:hAnsi="Arial" w:cs="Arial"/>
        </w:rPr>
        <w:t xml:space="preserve"> </w:t>
      </w:r>
      <w:r w:rsidRPr="00F0507B">
        <w:rPr>
          <w:rFonts w:ascii="Arial" w:hAnsi="Arial" w:cs="Arial"/>
        </w:rPr>
        <w:t xml:space="preserve">investment purposes. </w:t>
      </w:r>
    </w:p>
    <w:p w:rsidR="005E07E4" w:rsidRPr="00F0507B" w:rsidRDefault="005E07E4" w:rsidP="005E07E4">
      <w:pPr>
        <w:spacing w:line="360" w:lineRule="auto"/>
        <w:jc w:val="both"/>
        <w:rPr>
          <w:rFonts w:ascii="Arial" w:hAnsi="Arial" w:cs="Arial"/>
        </w:rPr>
      </w:pPr>
    </w:p>
    <w:p w:rsidR="00E144DC" w:rsidRDefault="005E07E4" w:rsidP="00E144DC">
      <w:pPr>
        <w:pStyle w:val="ListParagraph"/>
        <w:numPr>
          <w:ilvl w:val="0"/>
          <w:numId w:val="1"/>
        </w:numPr>
        <w:spacing w:line="360" w:lineRule="auto"/>
        <w:jc w:val="both"/>
        <w:rPr>
          <w:rFonts w:ascii="Arial" w:hAnsi="Arial" w:cs="Arial"/>
        </w:rPr>
      </w:pPr>
      <w:r w:rsidRPr="00F0507B">
        <w:rPr>
          <w:rFonts w:ascii="Arial" w:hAnsi="Arial" w:cs="Arial"/>
        </w:rPr>
        <w:t xml:space="preserve">The primary target firm is Emergent Investments (Pty) Ltd (“Emergent”), a private company incorporated in terms of the laws of the Republic of South Africa. </w:t>
      </w:r>
      <w:r w:rsidR="00E144DC" w:rsidRPr="00F0507B">
        <w:rPr>
          <w:rFonts w:ascii="Arial" w:hAnsi="Arial" w:cs="Arial"/>
        </w:rPr>
        <w:t xml:space="preserve">Emergent is a property investment company which holds a portfolio of industrial, retail and office properties. </w:t>
      </w:r>
    </w:p>
    <w:p w:rsidR="00E144DC" w:rsidRPr="00F0507B" w:rsidRDefault="00E144DC" w:rsidP="00E144DC">
      <w:pPr>
        <w:pStyle w:val="ListParagraph"/>
        <w:spacing w:line="360" w:lineRule="auto"/>
        <w:ind w:left="360"/>
        <w:jc w:val="both"/>
        <w:rPr>
          <w:rFonts w:ascii="Arial" w:hAnsi="Arial" w:cs="Arial"/>
        </w:rPr>
      </w:pPr>
    </w:p>
    <w:p w:rsidR="0068021A" w:rsidRPr="00F0507B" w:rsidRDefault="005E07E4" w:rsidP="0068021A">
      <w:pPr>
        <w:pStyle w:val="ListParagraph"/>
        <w:numPr>
          <w:ilvl w:val="0"/>
          <w:numId w:val="1"/>
        </w:numPr>
        <w:spacing w:line="360" w:lineRule="auto"/>
        <w:jc w:val="both"/>
        <w:rPr>
          <w:rFonts w:ascii="Arial" w:hAnsi="Arial" w:cs="Arial"/>
        </w:rPr>
      </w:pPr>
      <w:r w:rsidRPr="00F0507B">
        <w:rPr>
          <w:rFonts w:ascii="Arial" w:hAnsi="Arial" w:cs="Arial"/>
        </w:rPr>
        <w:t xml:space="preserve">The </w:t>
      </w:r>
      <w:r w:rsidR="0068021A" w:rsidRPr="00F0507B">
        <w:rPr>
          <w:rFonts w:ascii="Arial" w:hAnsi="Arial" w:cs="Arial"/>
        </w:rPr>
        <w:t xml:space="preserve">current </w:t>
      </w:r>
      <w:r w:rsidRPr="00F0507B">
        <w:rPr>
          <w:rFonts w:ascii="Arial" w:hAnsi="Arial" w:cs="Arial"/>
        </w:rPr>
        <w:t xml:space="preserve">shareholders in Emergent include Nedbank, Emergent Properties Ltd and Globus Investments (Pty) Ltd. </w:t>
      </w:r>
      <w:r w:rsidR="0068021A" w:rsidRPr="00F0507B">
        <w:rPr>
          <w:rFonts w:ascii="Arial" w:hAnsi="Arial" w:cs="Arial"/>
        </w:rPr>
        <w:t>Nedbank acquired in excess of 50% of Emergent’s issued share capital on 17 March 2010; its current shareholding in Emergent is in excess of 80%. Nedbank thus currently has control over Emergent</w:t>
      </w:r>
      <w:r w:rsidR="00E144DC">
        <w:rPr>
          <w:rFonts w:ascii="Arial" w:hAnsi="Arial" w:cs="Arial"/>
        </w:rPr>
        <w:t xml:space="preserve"> (also see paragraphs 6 and 7 below)</w:t>
      </w:r>
      <w:r w:rsidR="0068021A" w:rsidRPr="00F0507B">
        <w:rPr>
          <w:rFonts w:ascii="Arial" w:hAnsi="Arial" w:cs="Arial"/>
        </w:rPr>
        <w:t>.</w:t>
      </w:r>
    </w:p>
    <w:p w:rsidR="00D57B00" w:rsidRPr="00F0507B" w:rsidRDefault="00D57B00" w:rsidP="00450C24">
      <w:pPr>
        <w:pStyle w:val="NoSpacing"/>
      </w:pPr>
    </w:p>
    <w:p w:rsidR="005E07E4" w:rsidRPr="00F0507B" w:rsidRDefault="004B2FBC" w:rsidP="00324ECE">
      <w:pPr>
        <w:spacing w:line="360" w:lineRule="auto"/>
        <w:jc w:val="both"/>
        <w:rPr>
          <w:rFonts w:ascii="Arial" w:hAnsi="Arial" w:cs="Arial"/>
          <w:b/>
        </w:rPr>
      </w:pPr>
      <w:r>
        <w:rPr>
          <w:rFonts w:ascii="Arial" w:hAnsi="Arial" w:cs="Arial"/>
          <w:b/>
        </w:rPr>
        <w:t>T</w:t>
      </w:r>
      <w:r w:rsidR="005E07E4" w:rsidRPr="00F0507B">
        <w:rPr>
          <w:rFonts w:ascii="Arial" w:hAnsi="Arial" w:cs="Arial"/>
          <w:b/>
        </w:rPr>
        <w:t>ransaction</w:t>
      </w:r>
      <w:r w:rsidR="005965A9" w:rsidRPr="00F0507B">
        <w:rPr>
          <w:rFonts w:ascii="Arial" w:hAnsi="Arial" w:cs="Arial"/>
          <w:b/>
        </w:rPr>
        <w:t xml:space="preserve"> </w:t>
      </w:r>
    </w:p>
    <w:p w:rsidR="005E07E4" w:rsidRPr="00F0507B" w:rsidRDefault="005E07E4" w:rsidP="00E144DC">
      <w:pPr>
        <w:pStyle w:val="NoSpacing"/>
      </w:pPr>
    </w:p>
    <w:p w:rsidR="00023C5B" w:rsidRPr="00F0507B" w:rsidRDefault="00023C5B" w:rsidP="00035615">
      <w:pPr>
        <w:pStyle w:val="ListParagraph"/>
        <w:numPr>
          <w:ilvl w:val="0"/>
          <w:numId w:val="1"/>
        </w:numPr>
        <w:spacing w:line="360" w:lineRule="auto"/>
        <w:jc w:val="both"/>
        <w:rPr>
          <w:rFonts w:ascii="Arial" w:hAnsi="Arial" w:cs="Arial"/>
          <w:b/>
        </w:rPr>
      </w:pPr>
      <w:r w:rsidRPr="00F0507B">
        <w:rPr>
          <w:rFonts w:ascii="Arial" w:hAnsi="Arial" w:cs="Arial"/>
        </w:rPr>
        <w:t xml:space="preserve">According to the merging parties </w:t>
      </w:r>
      <w:r w:rsidR="005E07E4" w:rsidRPr="00F0507B">
        <w:rPr>
          <w:rFonts w:ascii="Arial" w:hAnsi="Arial" w:cs="Arial"/>
        </w:rPr>
        <w:t xml:space="preserve">Nedbank </w:t>
      </w:r>
      <w:r w:rsidRPr="00F0507B">
        <w:rPr>
          <w:rFonts w:ascii="Arial" w:hAnsi="Arial" w:cs="Arial"/>
        </w:rPr>
        <w:t xml:space="preserve">technically </w:t>
      </w:r>
      <w:r w:rsidR="005E07E4" w:rsidRPr="00F0507B">
        <w:rPr>
          <w:rFonts w:ascii="Arial" w:hAnsi="Arial" w:cs="Arial"/>
        </w:rPr>
        <w:t>acquired sole control over Emergent on 17 March 2010</w:t>
      </w:r>
      <w:r w:rsidRPr="00F0507B">
        <w:rPr>
          <w:rFonts w:ascii="Arial" w:hAnsi="Arial" w:cs="Arial"/>
        </w:rPr>
        <w:t xml:space="preserve"> and currently holds in excess of 80% of Emergent’s entire issued share capital.</w:t>
      </w:r>
      <w:r w:rsidR="00F0507B">
        <w:rPr>
          <w:rStyle w:val="FootnoteReference"/>
          <w:rFonts w:ascii="Arial" w:hAnsi="Arial" w:cs="Arial"/>
        </w:rPr>
        <w:footnoteReference w:id="2"/>
      </w:r>
    </w:p>
    <w:p w:rsidR="00023C5B" w:rsidRPr="00F0507B" w:rsidRDefault="00023C5B" w:rsidP="00023C5B">
      <w:pPr>
        <w:pStyle w:val="ListParagraph"/>
        <w:spacing w:line="360" w:lineRule="auto"/>
        <w:ind w:left="360"/>
        <w:jc w:val="both"/>
        <w:rPr>
          <w:rFonts w:ascii="Arial" w:hAnsi="Arial" w:cs="Arial"/>
          <w:b/>
        </w:rPr>
      </w:pPr>
    </w:p>
    <w:p w:rsidR="00035615" w:rsidRPr="00F0507B" w:rsidRDefault="005E07E4" w:rsidP="00035615">
      <w:pPr>
        <w:pStyle w:val="ListParagraph"/>
        <w:numPr>
          <w:ilvl w:val="0"/>
          <w:numId w:val="1"/>
        </w:numPr>
        <w:spacing w:line="360" w:lineRule="auto"/>
        <w:jc w:val="both"/>
        <w:rPr>
          <w:rFonts w:ascii="Arial" w:hAnsi="Arial" w:cs="Arial"/>
          <w:b/>
        </w:rPr>
      </w:pPr>
      <w:r w:rsidRPr="00F0507B">
        <w:rPr>
          <w:rFonts w:ascii="Arial" w:hAnsi="Arial" w:cs="Arial"/>
        </w:rPr>
        <w:lastRenderedPageBreak/>
        <w:t xml:space="preserve"> </w:t>
      </w:r>
      <w:r w:rsidR="006F1899">
        <w:rPr>
          <w:rFonts w:ascii="Arial" w:hAnsi="Arial" w:cs="Arial"/>
        </w:rPr>
        <w:t>T</w:t>
      </w:r>
      <w:r w:rsidR="006F1899" w:rsidRPr="00F0507B">
        <w:rPr>
          <w:rFonts w:ascii="Arial" w:hAnsi="Arial" w:cs="Arial"/>
        </w:rPr>
        <w:t xml:space="preserve">he </w:t>
      </w:r>
      <w:r w:rsidR="006F1899">
        <w:rPr>
          <w:rFonts w:ascii="Arial" w:hAnsi="Arial" w:cs="Arial"/>
        </w:rPr>
        <w:t xml:space="preserve">Competition </w:t>
      </w:r>
      <w:r w:rsidR="006F1899" w:rsidRPr="00F0507B">
        <w:rPr>
          <w:rFonts w:ascii="Arial" w:hAnsi="Arial" w:cs="Arial"/>
        </w:rPr>
        <w:t>Commission</w:t>
      </w:r>
      <w:r w:rsidR="006F1899">
        <w:rPr>
          <w:rFonts w:ascii="Arial" w:hAnsi="Arial" w:cs="Arial"/>
        </w:rPr>
        <w:t xml:space="preserve"> (“Commission”), in </w:t>
      </w:r>
      <w:r w:rsidR="00023C5B" w:rsidRPr="00F0507B">
        <w:rPr>
          <w:rFonts w:ascii="Arial" w:hAnsi="Arial" w:cs="Arial"/>
        </w:rPr>
        <w:t>terms of</w:t>
      </w:r>
      <w:r w:rsidR="006F1899">
        <w:rPr>
          <w:rFonts w:ascii="Arial" w:hAnsi="Arial" w:cs="Arial"/>
        </w:rPr>
        <w:t xml:space="preserve"> its</w:t>
      </w:r>
      <w:r w:rsidR="00023C5B" w:rsidRPr="00F0507B">
        <w:rPr>
          <w:rFonts w:ascii="Arial" w:hAnsi="Arial" w:cs="Arial"/>
        </w:rPr>
        <w:t xml:space="preserve"> Risk Mitigation Practice Note</w:t>
      </w:r>
      <w:r w:rsidR="002A755B" w:rsidRPr="00F0507B">
        <w:rPr>
          <w:rFonts w:ascii="Arial" w:hAnsi="Arial" w:cs="Arial"/>
        </w:rPr>
        <w:t xml:space="preserve"> and Update</w:t>
      </w:r>
      <w:r w:rsidR="00023C5B" w:rsidRPr="00F0507B">
        <w:rPr>
          <w:rFonts w:ascii="Arial" w:hAnsi="Arial" w:cs="Arial"/>
        </w:rPr>
        <w:t xml:space="preserve">, granted Nedbank an extension </w:t>
      </w:r>
      <w:r w:rsidR="00452300" w:rsidRPr="00F0507B">
        <w:rPr>
          <w:rFonts w:ascii="Arial" w:hAnsi="Arial" w:cs="Arial"/>
        </w:rPr>
        <w:t xml:space="preserve">until 25 November 2011 either </w:t>
      </w:r>
      <w:r w:rsidR="00450C24" w:rsidRPr="00F0507B">
        <w:rPr>
          <w:rFonts w:ascii="Arial" w:hAnsi="Arial" w:cs="Arial"/>
        </w:rPr>
        <w:t xml:space="preserve">to </w:t>
      </w:r>
      <w:r w:rsidR="00023C5B" w:rsidRPr="00F0507B">
        <w:rPr>
          <w:rFonts w:ascii="Arial" w:hAnsi="Arial" w:cs="Arial"/>
        </w:rPr>
        <w:t xml:space="preserve">dispose of its controlling stake in Emergent </w:t>
      </w:r>
      <w:r w:rsidR="00452300" w:rsidRPr="00F0507B">
        <w:rPr>
          <w:rFonts w:ascii="Arial" w:hAnsi="Arial" w:cs="Arial"/>
        </w:rPr>
        <w:t xml:space="preserve">or </w:t>
      </w:r>
      <w:r w:rsidR="00450C24" w:rsidRPr="00F0507B">
        <w:rPr>
          <w:rFonts w:ascii="Arial" w:hAnsi="Arial" w:cs="Arial"/>
        </w:rPr>
        <w:t xml:space="preserve">to </w:t>
      </w:r>
      <w:r w:rsidR="00452300" w:rsidRPr="00F0507B">
        <w:rPr>
          <w:rFonts w:ascii="Arial" w:hAnsi="Arial" w:cs="Arial"/>
        </w:rPr>
        <w:t>notify the transaction to the competition authorities</w:t>
      </w:r>
      <w:r w:rsidR="00023C5B" w:rsidRPr="00F0507B">
        <w:rPr>
          <w:rFonts w:ascii="Arial" w:hAnsi="Arial" w:cs="Arial"/>
        </w:rPr>
        <w:t xml:space="preserve">. </w:t>
      </w:r>
      <w:r w:rsidR="002A755B" w:rsidRPr="00F0507B">
        <w:rPr>
          <w:rFonts w:ascii="Arial" w:hAnsi="Arial" w:cs="Arial"/>
        </w:rPr>
        <w:t xml:space="preserve">On 24 November 2011 the Commission granted Nedbank a further extension until 02 December 2011. </w:t>
      </w:r>
      <w:r w:rsidR="00970C23">
        <w:rPr>
          <w:rFonts w:ascii="Arial" w:hAnsi="Arial" w:cs="Arial"/>
        </w:rPr>
        <w:t>H</w:t>
      </w:r>
      <w:r w:rsidR="00970C23" w:rsidRPr="00F0507B">
        <w:rPr>
          <w:rFonts w:ascii="Arial" w:hAnsi="Arial" w:cs="Arial"/>
        </w:rPr>
        <w:t>owever</w:t>
      </w:r>
      <w:r w:rsidR="00970C23">
        <w:rPr>
          <w:rFonts w:ascii="Arial" w:hAnsi="Arial" w:cs="Arial"/>
        </w:rPr>
        <w:t xml:space="preserve">, </w:t>
      </w:r>
      <w:r w:rsidRPr="00F0507B">
        <w:rPr>
          <w:rFonts w:ascii="Arial" w:hAnsi="Arial" w:cs="Arial"/>
        </w:rPr>
        <w:t xml:space="preserve">Nedbank was not successful in disposing of the assets within the stipulated time </w:t>
      </w:r>
      <w:r w:rsidR="00450C24" w:rsidRPr="00F0507B">
        <w:rPr>
          <w:rFonts w:ascii="Arial" w:hAnsi="Arial" w:cs="Arial"/>
        </w:rPr>
        <w:t xml:space="preserve">frame </w:t>
      </w:r>
      <w:r w:rsidRPr="00F0507B">
        <w:rPr>
          <w:rFonts w:ascii="Arial" w:hAnsi="Arial" w:cs="Arial"/>
        </w:rPr>
        <w:t xml:space="preserve">and </w:t>
      </w:r>
      <w:r w:rsidR="00023C5B" w:rsidRPr="00F0507B">
        <w:rPr>
          <w:rFonts w:ascii="Arial" w:hAnsi="Arial" w:cs="Arial"/>
        </w:rPr>
        <w:t xml:space="preserve">thus </w:t>
      </w:r>
      <w:r w:rsidRPr="00F0507B">
        <w:rPr>
          <w:rFonts w:ascii="Arial" w:hAnsi="Arial" w:cs="Arial"/>
        </w:rPr>
        <w:t>filed this transaction</w:t>
      </w:r>
      <w:r w:rsidR="00035615" w:rsidRPr="00F0507B">
        <w:rPr>
          <w:rFonts w:ascii="Arial" w:hAnsi="Arial" w:cs="Arial"/>
        </w:rPr>
        <w:t>.</w:t>
      </w:r>
      <w:r w:rsidRPr="00F0507B">
        <w:rPr>
          <w:rFonts w:ascii="Arial" w:hAnsi="Arial" w:cs="Arial"/>
        </w:rPr>
        <w:t xml:space="preserve"> </w:t>
      </w:r>
    </w:p>
    <w:p w:rsidR="00035615" w:rsidRPr="00F0507B" w:rsidRDefault="00035615" w:rsidP="00BB7DC8">
      <w:pPr>
        <w:pStyle w:val="NoSpacing"/>
      </w:pPr>
    </w:p>
    <w:p w:rsidR="00373D9E" w:rsidRPr="00F0507B" w:rsidRDefault="007C5B45" w:rsidP="00373D9E">
      <w:pPr>
        <w:spacing w:line="360" w:lineRule="auto"/>
        <w:jc w:val="both"/>
        <w:rPr>
          <w:rFonts w:ascii="Arial" w:hAnsi="Arial" w:cs="Arial"/>
          <w:b/>
        </w:rPr>
      </w:pPr>
      <w:r w:rsidRPr="00F0507B">
        <w:rPr>
          <w:rFonts w:ascii="Arial" w:hAnsi="Arial" w:cs="Arial"/>
          <w:b/>
        </w:rPr>
        <w:t>R</w:t>
      </w:r>
      <w:r w:rsidR="00373D9E" w:rsidRPr="00F0507B">
        <w:rPr>
          <w:rFonts w:ascii="Arial" w:hAnsi="Arial" w:cs="Arial"/>
          <w:b/>
        </w:rPr>
        <w:t>elevant markets and impact on competition</w:t>
      </w:r>
    </w:p>
    <w:p w:rsidR="00373D9E" w:rsidRPr="00F0507B" w:rsidRDefault="00373D9E" w:rsidP="00BB7DC8">
      <w:pPr>
        <w:pStyle w:val="NoSpacing"/>
      </w:pPr>
    </w:p>
    <w:p w:rsidR="00387F3A" w:rsidRDefault="00373D9E" w:rsidP="00373D9E">
      <w:pPr>
        <w:pStyle w:val="ListParagraph"/>
        <w:numPr>
          <w:ilvl w:val="0"/>
          <w:numId w:val="1"/>
        </w:numPr>
        <w:spacing w:line="360" w:lineRule="auto"/>
        <w:jc w:val="both"/>
        <w:rPr>
          <w:rFonts w:ascii="Arial" w:hAnsi="Arial" w:cs="Arial"/>
        </w:rPr>
      </w:pPr>
      <w:r w:rsidRPr="00F0507B">
        <w:rPr>
          <w:rFonts w:ascii="Arial" w:hAnsi="Arial" w:cs="Arial"/>
        </w:rPr>
        <w:t xml:space="preserve">The Commission identified an overlap in the activities of </w:t>
      </w:r>
      <w:r w:rsidR="00E144DC">
        <w:rPr>
          <w:rFonts w:ascii="Arial" w:hAnsi="Arial" w:cs="Arial"/>
        </w:rPr>
        <w:t>Nedbank Group/</w:t>
      </w:r>
      <w:r w:rsidR="00D20470" w:rsidRPr="00F0507B">
        <w:rPr>
          <w:rFonts w:ascii="Arial" w:hAnsi="Arial" w:cs="Arial"/>
        </w:rPr>
        <w:t xml:space="preserve">OMSA and Emergent </w:t>
      </w:r>
      <w:r w:rsidRPr="00F0507B">
        <w:rPr>
          <w:rFonts w:ascii="Arial" w:hAnsi="Arial" w:cs="Arial"/>
        </w:rPr>
        <w:t xml:space="preserve">in respect of </w:t>
      </w:r>
      <w:r w:rsidR="0068021A" w:rsidRPr="00F0507B">
        <w:rPr>
          <w:rFonts w:ascii="Arial" w:hAnsi="Arial" w:cs="Arial"/>
        </w:rPr>
        <w:t xml:space="preserve">(i) </w:t>
      </w:r>
      <w:r w:rsidRPr="00F0507B">
        <w:rPr>
          <w:rFonts w:ascii="Arial" w:hAnsi="Arial" w:cs="Arial"/>
        </w:rPr>
        <w:t xml:space="preserve">rentable </w:t>
      </w:r>
      <w:r w:rsidR="00F042DC" w:rsidRPr="00F0507B">
        <w:rPr>
          <w:rFonts w:ascii="Arial" w:hAnsi="Arial" w:cs="Arial"/>
        </w:rPr>
        <w:t>G</w:t>
      </w:r>
      <w:r w:rsidRPr="00F0507B">
        <w:rPr>
          <w:rFonts w:ascii="Arial" w:hAnsi="Arial" w:cs="Arial"/>
        </w:rPr>
        <w:t xml:space="preserve">rade B offices in the Berea node </w:t>
      </w:r>
      <w:r w:rsidR="00F042DC" w:rsidRPr="00F0507B">
        <w:rPr>
          <w:rFonts w:ascii="Arial" w:hAnsi="Arial" w:cs="Arial"/>
        </w:rPr>
        <w:t xml:space="preserve">in </w:t>
      </w:r>
      <w:r w:rsidRPr="00F0507B">
        <w:rPr>
          <w:rFonts w:ascii="Arial" w:hAnsi="Arial" w:cs="Arial"/>
        </w:rPr>
        <w:t>Kwa</w:t>
      </w:r>
      <w:r w:rsidR="00F042DC" w:rsidRPr="00F0507B">
        <w:rPr>
          <w:rFonts w:ascii="Arial" w:hAnsi="Arial" w:cs="Arial"/>
        </w:rPr>
        <w:t>Z</w:t>
      </w:r>
      <w:r w:rsidRPr="00F0507B">
        <w:rPr>
          <w:rFonts w:ascii="Arial" w:hAnsi="Arial" w:cs="Arial"/>
        </w:rPr>
        <w:t>ulu</w:t>
      </w:r>
      <w:r w:rsidR="00F042DC" w:rsidRPr="00F0507B">
        <w:rPr>
          <w:rFonts w:ascii="Arial" w:hAnsi="Arial" w:cs="Arial"/>
        </w:rPr>
        <w:t>-</w:t>
      </w:r>
      <w:r w:rsidRPr="00F0507B">
        <w:rPr>
          <w:rFonts w:ascii="Arial" w:hAnsi="Arial" w:cs="Arial"/>
        </w:rPr>
        <w:t>Natal</w:t>
      </w:r>
      <w:r w:rsidR="0068021A" w:rsidRPr="00F0507B">
        <w:rPr>
          <w:rFonts w:ascii="Arial" w:hAnsi="Arial" w:cs="Arial"/>
        </w:rPr>
        <w:t xml:space="preserve">; and (ii) </w:t>
      </w:r>
      <w:r w:rsidRPr="00F0507B">
        <w:rPr>
          <w:rFonts w:ascii="Arial" w:hAnsi="Arial" w:cs="Arial"/>
        </w:rPr>
        <w:t xml:space="preserve">rentable industrial warehousing in the Pinetown node </w:t>
      </w:r>
      <w:r w:rsidR="00F042DC" w:rsidRPr="00F0507B">
        <w:rPr>
          <w:rFonts w:ascii="Arial" w:hAnsi="Arial" w:cs="Arial"/>
        </w:rPr>
        <w:t xml:space="preserve">in </w:t>
      </w:r>
      <w:r w:rsidRPr="00F0507B">
        <w:rPr>
          <w:rFonts w:ascii="Arial" w:hAnsi="Arial" w:cs="Arial"/>
        </w:rPr>
        <w:t>Kwa</w:t>
      </w:r>
      <w:r w:rsidR="00F042DC" w:rsidRPr="00F0507B">
        <w:rPr>
          <w:rFonts w:ascii="Arial" w:hAnsi="Arial" w:cs="Arial"/>
        </w:rPr>
        <w:t>Z</w:t>
      </w:r>
      <w:r w:rsidRPr="00F0507B">
        <w:rPr>
          <w:rFonts w:ascii="Arial" w:hAnsi="Arial" w:cs="Arial"/>
        </w:rPr>
        <w:t>ulu</w:t>
      </w:r>
      <w:r w:rsidR="00F042DC" w:rsidRPr="00F0507B">
        <w:rPr>
          <w:rFonts w:ascii="Arial" w:hAnsi="Arial" w:cs="Arial"/>
        </w:rPr>
        <w:t>-</w:t>
      </w:r>
      <w:r w:rsidRPr="00F0507B">
        <w:rPr>
          <w:rFonts w:ascii="Arial" w:hAnsi="Arial" w:cs="Arial"/>
        </w:rPr>
        <w:t xml:space="preserve">Natal. </w:t>
      </w:r>
    </w:p>
    <w:p w:rsidR="00387F3A" w:rsidRDefault="00387F3A" w:rsidP="00387F3A">
      <w:pPr>
        <w:pStyle w:val="ListParagraph"/>
        <w:spacing w:line="360" w:lineRule="auto"/>
        <w:ind w:left="360"/>
        <w:jc w:val="both"/>
        <w:rPr>
          <w:rFonts w:ascii="Arial" w:hAnsi="Arial" w:cs="Arial"/>
        </w:rPr>
      </w:pPr>
    </w:p>
    <w:p w:rsidR="00373D9E" w:rsidRPr="00F0507B" w:rsidRDefault="00387F3A" w:rsidP="00373D9E">
      <w:pPr>
        <w:pStyle w:val="ListParagraph"/>
        <w:numPr>
          <w:ilvl w:val="0"/>
          <w:numId w:val="1"/>
        </w:numPr>
        <w:spacing w:line="360" w:lineRule="auto"/>
        <w:jc w:val="both"/>
        <w:rPr>
          <w:rFonts w:ascii="Arial" w:hAnsi="Arial" w:cs="Arial"/>
        </w:rPr>
      </w:pPr>
      <w:r>
        <w:rPr>
          <w:rFonts w:ascii="Arial" w:hAnsi="Arial" w:cs="Arial"/>
        </w:rPr>
        <w:t xml:space="preserve">In regard to </w:t>
      </w:r>
      <w:r w:rsidRPr="00F0507B">
        <w:rPr>
          <w:rFonts w:ascii="Arial" w:hAnsi="Arial" w:cs="Arial"/>
        </w:rPr>
        <w:t>rentable Grade B offices in the Berea node</w:t>
      </w:r>
      <w:r>
        <w:rPr>
          <w:rFonts w:ascii="Arial" w:hAnsi="Arial" w:cs="Arial"/>
        </w:rPr>
        <w:t>,</w:t>
      </w:r>
      <w:r w:rsidRPr="00F0507B">
        <w:rPr>
          <w:rFonts w:ascii="Arial" w:hAnsi="Arial" w:cs="Arial"/>
        </w:rPr>
        <w:t xml:space="preserve"> </w:t>
      </w:r>
      <w:r>
        <w:rPr>
          <w:rFonts w:ascii="Arial" w:hAnsi="Arial" w:cs="Arial"/>
        </w:rPr>
        <w:t>t</w:t>
      </w:r>
      <w:r w:rsidR="00373D9E" w:rsidRPr="00F0507B">
        <w:rPr>
          <w:rFonts w:ascii="Arial" w:hAnsi="Arial" w:cs="Arial"/>
        </w:rPr>
        <w:t xml:space="preserve">he combined post-merger market share of the merging parties </w:t>
      </w:r>
      <w:r w:rsidR="00F213F5" w:rsidRPr="00F0507B">
        <w:rPr>
          <w:rFonts w:ascii="Arial" w:hAnsi="Arial" w:cs="Arial"/>
        </w:rPr>
        <w:t>in th</w:t>
      </w:r>
      <w:r>
        <w:rPr>
          <w:rFonts w:ascii="Arial" w:hAnsi="Arial" w:cs="Arial"/>
        </w:rPr>
        <w:t>is</w:t>
      </w:r>
      <w:r w:rsidR="00F213F5" w:rsidRPr="00F0507B">
        <w:rPr>
          <w:rFonts w:ascii="Arial" w:hAnsi="Arial" w:cs="Arial"/>
        </w:rPr>
        <w:t xml:space="preserve"> market is below 20%. </w:t>
      </w:r>
      <w:r w:rsidR="00D20470" w:rsidRPr="00F0507B">
        <w:rPr>
          <w:rFonts w:ascii="Arial" w:hAnsi="Arial" w:cs="Arial"/>
        </w:rPr>
        <w:t>There are numerous other providers of Grade B office space in the Berea node.</w:t>
      </w:r>
      <w:r w:rsidR="002A755B" w:rsidRPr="00F0507B">
        <w:rPr>
          <w:rFonts w:ascii="Arial" w:hAnsi="Arial" w:cs="Arial"/>
        </w:rPr>
        <w:t xml:space="preserve"> Furthermore, the Commission’s market investigat</w:t>
      </w:r>
      <w:r w:rsidR="00970C23">
        <w:rPr>
          <w:rFonts w:ascii="Arial" w:hAnsi="Arial" w:cs="Arial"/>
        </w:rPr>
        <w:t>ion</w:t>
      </w:r>
      <w:r w:rsidR="002A755B" w:rsidRPr="00F0507B">
        <w:rPr>
          <w:rFonts w:ascii="Arial" w:hAnsi="Arial" w:cs="Arial"/>
        </w:rPr>
        <w:t xml:space="preserve"> revealed that customers of the merging parties do not see the properties of OMSA</w:t>
      </w:r>
      <w:r w:rsidR="00450C24" w:rsidRPr="00F0507B">
        <w:rPr>
          <w:rStyle w:val="FootnoteReference"/>
          <w:rFonts w:ascii="Arial" w:hAnsi="Arial" w:cs="Arial"/>
        </w:rPr>
        <w:footnoteReference w:id="3"/>
      </w:r>
      <w:r w:rsidR="002A755B" w:rsidRPr="00F0507B">
        <w:rPr>
          <w:rFonts w:ascii="Arial" w:hAnsi="Arial" w:cs="Arial"/>
        </w:rPr>
        <w:t xml:space="preserve"> and Emergent</w:t>
      </w:r>
      <w:r w:rsidR="00450C24" w:rsidRPr="00F0507B">
        <w:rPr>
          <w:rStyle w:val="FootnoteReference"/>
          <w:rFonts w:ascii="Arial" w:hAnsi="Arial" w:cs="Arial"/>
        </w:rPr>
        <w:footnoteReference w:id="4"/>
      </w:r>
      <w:r w:rsidR="002A755B" w:rsidRPr="00F0507B">
        <w:rPr>
          <w:rFonts w:ascii="Arial" w:hAnsi="Arial" w:cs="Arial"/>
        </w:rPr>
        <w:t xml:space="preserve"> as substitutable due to </w:t>
      </w:r>
      <w:r w:rsidR="002A755B" w:rsidRPr="00F0507B">
        <w:rPr>
          <w:rFonts w:ascii="Arial" w:hAnsi="Arial" w:cs="Arial"/>
          <w:i/>
        </w:rPr>
        <w:t>inter alia</w:t>
      </w:r>
      <w:r w:rsidR="002A755B" w:rsidRPr="00F0507B">
        <w:rPr>
          <w:rFonts w:ascii="Arial" w:hAnsi="Arial" w:cs="Arial"/>
        </w:rPr>
        <w:t xml:space="preserve"> large price differentials between the two properties in question.</w:t>
      </w:r>
    </w:p>
    <w:p w:rsidR="00373D9E" w:rsidRPr="00F0507B" w:rsidRDefault="00373D9E" w:rsidP="00373D9E">
      <w:pPr>
        <w:spacing w:line="360" w:lineRule="auto"/>
        <w:jc w:val="both"/>
        <w:rPr>
          <w:rFonts w:ascii="Arial" w:hAnsi="Arial" w:cs="Arial"/>
        </w:rPr>
      </w:pPr>
    </w:p>
    <w:p w:rsidR="00373D9E" w:rsidRPr="00F0507B" w:rsidRDefault="00387F3A" w:rsidP="00373D9E">
      <w:pPr>
        <w:pStyle w:val="ListParagraph"/>
        <w:numPr>
          <w:ilvl w:val="0"/>
          <w:numId w:val="1"/>
        </w:numPr>
        <w:spacing w:line="360" w:lineRule="auto"/>
        <w:jc w:val="both"/>
        <w:rPr>
          <w:rFonts w:ascii="Arial" w:hAnsi="Arial" w:cs="Arial"/>
        </w:rPr>
      </w:pPr>
      <w:r>
        <w:rPr>
          <w:rFonts w:ascii="Arial" w:hAnsi="Arial" w:cs="Arial"/>
        </w:rPr>
        <w:t xml:space="preserve">In regard to </w:t>
      </w:r>
      <w:r w:rsidRPr="00F0507B">
        <w:rPr>
          <w:rFonts w:ascii="Arial" w:hAnsi="Arial" w:cs="Arial"/>
        </w:rPr>
        <w:t>rentable warehouse property in the Pinetown node</w:t>
      </w:r>
      <w:r>
        <w:rPr>
          <w:rFonts w:ascii="Arial" w:hAnsi="Arial" w:cs="Arial"/>
        </w:rPr>
        <w:t>,</w:t>
      </w:r>
      <w:r w:rsidRPr="00F0507B">
        <w:rPr>
          <w:rFonts w:ascii="Arial" w:hAnsi="Arial" w:cs="Arial"/>
        </w:rPr>
        <w:t xml:space="preserve"> </w:t>
      </w:r>
      <w:r>
        <w:rPr>
          <w:rFonts w:ascii="Arial" w:hAnsi="Arial" w:cs="Arial"/>
        </w:rPr>
        <w:t>a</w:t>
      </w:r>
      <w:r w:rsidR="00F213F5" w:rsidRPr="00F0507B">
        <w:rPr>
          <w:rFonts w:ascii="Arial" w:hAnsi="Arial" w:cs="Arial"/>
        </w:rPr>
        <w:t xml:space="preserve">lthough </w:t>
      </w:r>
      <w:r w:rsidR="00373D9E" w:rsidRPr="00F0507B">
        <w:rPr>
          <w:rFonts w:ascii="Arial" w:hAnsi="Arial" w:cs="Arial"/>
        </w:rPr>
        <w:t xml:space="preserve">the </w:t>
      </w:r>
      <w:r w:rsidR="00F213F5" w:rsidRPr="00F0507B">
        <w:rPr>
          <w:rFonts w:ascii="Arial" w:hAnsi="Arial" w:cs="Arial"/>
        </w:rPr>
        <w:t xml:space="preserve">merging </w:t>
      </w:r>
      <w:r w:rsidR="00373D9E" w:rsidRPr="00F0507B">
        <w:rPr>
          <w:rFonts w:ascii="Arial" w:hAnsi="Arial" w:cs="Arial"/>
        </w:rPr>
        <w:t xml:space="preserve">parties’ </w:t>
      </w:r>
      <w:r w:rsidR="00F213F5" w:rsidRPr="00F0507B">
        <w:rPr>
          <w:rFonts w:ascii="Arial" w:hAnsi="Arial" w:cs="Arial"/>
        </w:rPr>
        <w:t xml:space="preserve">combined </w:t>
      </w:r>
      <w:r>
        <w:rPr>
          <w:rFonts w:ascii="Arial" w:hAnsi="Arial" w:cs="Arial"/>
        </w:rPr>
        <w:t xml:space="preserve">post-market </w:t>
      </w:r>
      <w:r w:rsidR="00373D9E" w:rsidRPr="00F0507B">
        <w:rPr>
          <w:rFonts w:ascii="Arial" w:hAnsi="Arial" w:cs="Arial"/>
        </w:rPr>
        <w:t>market share is high in th</w:t>
      </w:r>
      <w:r>
        <w:rPr>
          <w:rFonts w:ascii="Arial" w:hAnsi="Arial" w:cs="Arial"/>
        </w:rPr>
        <w:t>is market</w:t>
      </w:r>
      <w:r w:rsidR="00373D9E" w:rsidRPr="00F0507B">
        <w:rPr>
          <w:rFonts w:ascii="Arial" w:hAnsi="Arial" w:cs="Arial"/>
        </w:rPr>
        <w:t>, the</w:t>
      </w:r>
      <w:r w:rsidR="00970C23">
        <w:rPr>
          <w:rFonts w:ascii="Arial" w:hAnsi="Arial" w:cs="Arial"/>
        </w:rPr>
        <w:t>y</w:t>
      </w:r>
      <w:r w:rsidR="00373D9E" w:rsidRPr="00F0507B">
        <w:rPr>
          <w:rFonts w:ascii="Arial" w:hAnsi="Arial" w:cs="Arial"/>
        </w:rPr>
        <w:t xml:space="preserve"> will still face competition from players such as Capital Propert</w:t>
      </w:r>
      <w:r w:rsidR="009C14CD" w:rsidRPr="00F0507B">
        <w:rPr>
          <w:rFonts w:ascii="Arial" w:hAnsi="Arial" w:cs="Arial"/>
        </w:rPr>
        <w:t>y Fund</w:t>
      </w:r>
      <w:r w:rsidR="00373D9E" w:rsidRPr="00F0507B">
        <w:rPr>
          <w:rFonts w:ascii="Arial" w:hAnsi="Arial" w:cs="Arial"/>
        </w:rPr>
        <w:t xml:space="preserve">, Growthpoint </w:t>
      </w:r>
      <w:r w:rsidR="009C14CD" w:rsidRPr="00F0507B">
        <w:rPr>
          <w:rFonts w:ascii="Arial" w:hAnsi="Arial" w:cs="Arial"/>
        </w:rPr>
        <w:t xml:space="preserve">Properties </w:t>
      </w:r>
      <w:r w:rsidR="00373D9E" w:rsidRPr="00F0507B">
        <w:rPr>
          <w:rFonts w:ascii="Arial" w:hAnsi="Arial" w:cs="Arial"/>
        </w:rPr>
        <w:t>and Emira</w:t>
      </w:r>
      <w:r w:rsidR="009C14CD" w:rsidRPr="00F0507B">
        <w:rPr>
          <w:rFonts w:ascii="Arial" w:hAnsi="Arial" w:cs="Arial"/>
        </w:rPr>
        <w:t xml:space="preserve"> Property Fund</w:t>
      </w:r>
      <w:r w:rsidR="00373D9E" w:rsidRPr="00F0507B">
        <w:rPr>
          <w:rFonts w:ascii="Arial" w:hAnsi="Arial" w:cs="Arial"/>
        </w:rPr>
        <w:t xml:space="preserve">. </w:t>
      </w:r>
      <w:r w:rsidR="0017116C" w:rsidRPr="00F0507B">
        <w:rPr>
          <w:rFonts w:ascii="Arial" w:hAnsi="Arial" w:cs="Arial"/>
        </w:rPr>
        <w:t>The</w:t>
      </w:r>
      <w:r w:rsidR="00970C23">
        <w:rPr>
          <w:rFonts w:ascii="Arial" w:hAnsi="Arial" w:cs="Arial"/>
        </w:rPr>
        <w:t xml:space="preserve"> latter</w:t>
      </w:r>
      <w:r w:rsidR="0017116C" w:rsidRPr="00F0507B">
        <w:rPr>
          <w:rFonts w:ascii="Arial" w:hAnsi="Arial" w:cs="Arial"/>
        </w:rPr>
        <w:t xml:space="preserve"> players own a number of warehouses in the Pinetown node.</w:t>
      </w:r>
      <w:r w:rsidR="00450C24" w:rsidRPr="00F0507B">
        <w:rPr>
          <w:rFonts w:ascii="Arial" w:hAnsi="Arial" w:cs="Arial"/>
        </w:rPr>
        <w:t xml:space="preserve"> </w:t>
      </w:r>
      <w:r w:rsidR="00373D9E" w:rsidRPr="00F0507B">
        <w:rPr>
          <w:rFonts w:ascii="Arial" w:hAnsi="Arial" w:cs="Arial"/>
        </w:rPr>
        <w:t xml:space="preserve">In addition, none of the customers of the merging parties contacted by the Commission </w:t>
      </w:r>
      <w:r>
        <w:rPr>
          <w:rFonts w:ascii="Arial" w:hAnsi="Arial" w:cs="Arial"/>
        </w:rPr>
        <w:t xml:space="preserve">raised any </w:t>
      </w:r>
      <w:r w:rsidR="00373D9E" w:rsidRPr="00F0507B">
        <w:rPr>
          <w:rFonts w:ascii="Arial" w:hAnsi="Arial" w:cs="Arial"/>
        </w:rPr>
        <w:t>object</w:t>
      </w:r>
      <w:r>
        <w:rPr>
          <w:rFonts w:ascii="Arial" w:hAnsi="Arial" w:cs="Arial"/>
        </w:rPr>
        <w:t>ions</w:t>
      </w:r>
      <w:r w:rsidR="00373D9E" w:rsidRPr="00F0507B">
        <w:rPr>
          <w:rFonts w:ascii="Arial" w:hAnsi="Arial" w:cs="Arial"/>
        </w:rPr>
        <w:t xml:space="preserve"> to the transaction.</w:t>
      </w:r>
    </w:p>
    <w:p w:rsidR="00424363" w:rsidRPr="00F0507B" w:rsidRDefault="00424363" w:rsidP="006B1FC7">
      <w:pPr>
        <w:spacing w:line="360" w:lineRule="auto"/>
        <w:jc w:val="both"/>
        <w:rPr>
          <w:rFonts w:ascii="Arial" w:hAnsi="Arial" w:cs="Arial"/>
        </w:rPr>
      </w:pPr>
    </w:p>
    <w:p w:rsidR="00450C24" w:rsidRPr="00F0507B" w:rsidRDefault="00450C24" w:rsidP="006B1FC7">
      <w:pPr>
        <w:spacing w:line="360" w:lineRule="auto"/>
        <w:jc w:val="both"/>
        <w:rPr>
          <w:rFonts w:ascii="Arial" w:hAnsi="Arial" w:cs="Arial"/>
        </w:rPr>
      </w:pPr>
    </w:p>
    <w:p w:rsidR="00450C24" w:rsidRPr="00F0507B" w:rsidRDefault="00450C24" w:rsidP="006B1FC7">
      <w:pPr>
        <w:spacing w:line="360" w:lineRule="auto"/>
        <w:jc w:val="both"/>
        <w:rPr>
          <w:rFonts w:ascii="Arial" w:hAnsi="Arial" w:cs="Arial"/>
        </w:rPr>
      </w:pPr>
    </w:p>
    <w:p w:rsidR="00424363" w:rsidRPr="00F0507B" w:rsidRDefault="00525909" w:rsidP="00424363">
      <w:pPr>
        <w:spacing w:line="360" w:lineRule="auto"/>
        <w:jc w:val="both"/>
        <w:rPr>
          <w:rFonts w:ascii="Arial" w:hAnsi="Arial" w:cs="Arial"/>
          <w:b/>
        </w:rPr>
      </w:pPr>
      <w:r w:rsidRPr="00F0507B">
        <w:rPr>
          <w:rFonts w:ascii="Arial" w:hAnsi="Arial" w:cs="Arial"/>
          <w:b/>
        </w:rPr>
        <w:t>P</w:t>
      </w:r>
      <w:r w:rsidR="00373D9E" w:rsidRPr="00F0507B">
        <w:rPr>
          <w:rFonts w:ascii="Arial" w:hAnsi="Arial" w:cs="Arial"/>
          <w:b/>
        </w:rPr>
        <w:t>ublic interest</w:t>
      </w:r>
    </w:p>
    <w:p w:rsidR="00424363" w:rsidRPr="00F0507B" w:rsidRDefault="00424363" w:rsidP="00424363">
      <w:pPr>
        <w:pStyle w:val="ListParagraph"/>
        <w:rPr>
          <w:rFonts w:ascii="Arial" w:hAnsi="Arial" w:cs="Arial"/>
        </w:rPr>
      </w:pPr>
    </w:p>
    <w:p w:rsidR="00424363" w:rsidRPr="00F0507B" w:rsidRDefault="00424363" w:rsidP="00424363">
      <w:pPr>
        <w:pStyle w:val="ListParagraph"/>
        <w:numPr>
          <w:ilvl w:val="0"/>
          <w:numId w:val="1"/>
        </w:numPr>
        <w:spacing w:line="360" w:lineRule="auto"/>
        <w:jc w:val="both"/>
        <w:rPr>
          <w:rFonts w:ascii="Arial" w:hAnsi="Arial" w:cs="Arial"/>
        </w:rPr>
      </w:pPr>
      <w:r w:rsidRPr="00F0507B">
        <w:rPr>
          <w:rFonts w:ascii="Arial" w:hAnsi="Arial" w:cs="Arial"/>
        </w:rPr>
        <w:t>The merging parties submitted that the transaction will not have any effect on employment.</w:t>
      </w:r>
      <w:r w:rsidR="00F042DC" w:rsidRPr="00F0507B">
        <w:rPr>
          <w:rStyle w:val="FootnoteReference"/>
          <w:rFonts w:ascii="Arial" w:hAnsi="Arial" w:cs="Arial"/>
        </w:rPr>
        <w:footnoteReference w:id="5"/>
      </w:r>
      <w:r w:rsidR="00F042DC" w:rsidRPr="00F0507B">
        <w:rPr>
          <w:rFonts w:ascii="Arial" w:hAnsi="Arial" w:cs="Arial"/>
        </w:rPr>
        <w:t xml:space="preserve"> Furthermore, the deal raises no other public interest concerns.</w:t>
      </w:r>
    </w:p>
    <w:p w:rsidR="00424363" w:rsidRPr="00F0507B" w:rsidRDefault="00424363" w:rsidP="00424363">
      <w:pPr>
        <w:pStyle w:val="ListParagraph"/>
        <w:spacing w:line="360" w:lineRule="auto"/>
        <w:ind w:left="360"/>
        <w:jc w:val="both"/>
        <w:rPr>
          <w:rFonts w:ascii="Arial" w:hAnsi="Arial" w:cs="Arial"/>
        </w:rPr>
      </w:pPr>
    </w:p>
    <w:p w:rsidR="005965A9" w:rsidRPr="00F0507B" w:rsidRDefault="00373D9E" w:rsidP="00324ECE">
      <w:pPr>
        <w:pStyle w:val="Heading5"/>
        <w:rPr>
          <w:rFonts w:cs="Arial"/>
          <w:sz w:val="24"/>
        </w:rPr>
      </w:pPr>
      <w:r w:rsidRPr="00F0507B">
        <w:rPr>
          <w:rFonts w:cs="Arial"/>
          <w:sz w:val="24"/>
        </w:rPr>
        <w:t>Conclusion</w:t>
      </w:r>
    </w:p>
    <w:p w:rsidR="005965A9" w:rsidRPr="00F0507B" w:rsidRDefault="005965A9" w:rsidP="00D76D2B">
      <w:pPr>
        <w:pStyle w:val="NoSpacing"/>
      </w:pPr>
    </w:p>
    <w:p w:rsidR="00373D9E" w:rsidRPr="00F0507B" w:rsidRDefault="00373D9E" w:rsidP="00373D9E">
      <w:pPr>
        <w:pStyle w:val="ListParagraph"/>
        <w:numPr>
          <w:ilvl w:val="0"/>
          <w:numId w:val="1"/>
        </w:numPr>
        <w:spacing w:line="360" w:lineRule="auto"/>
        <w:jc w:val="both"/>
        <w:rPr>
          <w:rFonts w:ascii="Arial" w:hAnsi="Arial" w:cs="Arial"/>
        </w:rPr>
      </w:pPr>
      <w:r w:rsidRPr="00F0507B">
        <w:rPr>
          <w:rFonts w:ascii="Arial" w:eastAsiaTheme="minorHAnsi" w:hAnsi="Arial" w:cs="Arial"/>
          <w:lang w:val="en-ZA"/>
        </w:rPr>
        <w:t>In light of the above, we conclude that the transaction is unlikely to substantially prevent or lessen competition</w:t>
      </w:r>
      <w:r w:rsidR="00035615" w:rsidRPr="00F0507B">
        <w:rPr>
          <w:rFonts w:ascii="Arial" w:eastAsiaTheme="minorHAnsi" w:hAnsi="Arial" w:cs="Arial"/>
          <w:lang w:val="en-ZA"/>
        </w:rPr>
        <w:t xml:space="preserve"> in </w:t>
      </w:r>
      <w:r w:rsidR="00F042DC" w:rsidRPr="00F0507B">
        <w:rPr>
          <w:rFonts w:ascii="Arial" w:eastAsiaTheme="minorHAnsi" w:hAnsi="Arial" w:cs="Arial"/>
          <w:lang w:val="en-ZA"/>
        </w:rPr>
        <w:t>any</w:t>
      </w:r>
      <w:r w:rsidR="00035615" w:rsidRPr="00F0507B">
        <w:rPr>
          <w:rFonts w:ascii="Arial" w:eastAsiaTheme="minorHAnsi" w:hAnsi="Arial" w:cs="Arial"/>
          <w:lang w:val="en-ZA"/>
        </w:rPr>
        <w:t xml:space="preserve"> relevant market</w:t>
      </w:r>
      <w:r w:rsidRPr="00F0507B">
        <w:rPr>
          <w:rFonts w:ascii="Arial" w:eastAsiaTheme="minorHAnsi" w:hAnsi="Arial" w:cs="Arial"/>
          <w:lang w:val="en-ZA"/>
        </w:rPr>
        <w:t>. Furthermore, the transaction raises no public interest concerns. Acc</w:t>
      </w:r>
      <w:r w:rsidR="00672E2B" w:rsidRPr="00F0507B">
        <w:rPr>
          <w:rFonts w:ascii="Arial" w:eastAsiaTheme="minorHAnsi" w:hAnsi="Arial" w:cs="Arial"/>
          <w:lang w:val="en-ZA"/>
        </w:rPr>
        <w:t>ordingly we approve the</w:t>
      </w:r>
      <w:r w:rsidRPr="00F0507B">
        <w:rPr>
          <w:rFonts w:ascii="Arial" w:eastAsiaTheme="minorHAnsi" w:hAnsi="Arial" w:cs="Arial"/>
          <w:lang w:val="en-ZA"/>
        </w:rPr>
        <w:t xml:space="preserve"> transaction unconditionally.</w:t>
      </w:r>
    </w:p>
    <w:p w:rsidR="00A402C4" w:rsidRPr="00373D9E" w:rsidRDefault="00A402C4" w:rsidP="00373D9E">
      <w:pPr>
        <w:pStyle w:val="ListParagraph"/>
        <w:spacing w:line="360" w:lineRule="auto"/>
        <w:ind w:left="360"/>
        <w:jc w:val="both"/>
        <w:rPr>
          <w:rFonts w:ascii="Arial" w:hAnsi="Arial" w:cs="Arial"/>
        </w:rPr>
      </w:pPr>
    </w:p>
    <w:p w:rsidR="00BA4B13" w:rsidRPr="00F86EB2" w:rsidRDefault="00BA4B13" w:rsidP="00BA4B13">
      <w:pPr>
        <w:pStyle w:val="ListParagraph"/>
        <w:spacing w:line="360" w:lineRule="auto"/>
        <w:ind w:left="357"/>
        <w:jc w:val="both"/>
        <w:rPr>
          <w:rFonts w:ascii="Arial" w:hAnsi="Arial" w:cs="Arial"/>
        </w:rPr>
      </w:pPr>
    </w:p>
    <w:p w:rsidR="00304647" w:rsidRPr="002357EB" w:rsidRDefault="00304647" w:rsidP="00324ECE"/>
    <w:p w:rsidR="005965A9" w:rsidRPr="002357EB" w:rsidRDefault="005965A9" w:rsidP="00324ECE">
      <w:r>
        <w:t>____________________</w:t>
      </w:r>
      <w:r>
        <w:tab/>
      </w:r>
      <w:r>
        <w:tab/>
      </w:r>
      <w:r>
        <w:tab/>
      </w:r>
      <w:r>
        <w:tab/>
      </w:r>
      <w:sdt>
        <w:sdtPr>
          <w:rPr>
            <w:rFonts w:ascii="Arial" w:hAnsi="Arial" w:cs="Arial"/>
            <w:u w:val="single"/>
          </w:rPr>
          <w:id w:val="98262749"/>
          <w:date w:fullDate="2012-04-16T00:00:00Z">
            <w:dateFormat w:val="dd MMMM yyyy"/>
            <w:lid w:val="en-ZA"/>
            <w:storeMappedDataAs w:val="dateTime"/>
            <w:calendar w:val="gregorian"/>
          </w:date>
        </w:sdtPr>
        <w:sdtContent>
          <w:r w:rsidR="007C5B45">
            <w:rPr>
              <w:rFonts w:ascii="Arial" w:hAnsi="Arial" w:cs="Arial"/>
              <w:u w:val="single"/>
              <w:lang w:val="en-ZA"/>
            </w:rPr>
            <w:t>16 April 2012</w:t>
          </w:r>
        </w:sdtContent>
      </w:sdt>
    </w:p>
    <w:p w:rsidR="005965A9" w:rsidRPr="002357EB" w:rsidRDefault="00F54B76" w:rsidP="00324ECE">
      <w:sdt>
        <w:sdtPr>
          <w:rPr>
            <w:rFonts w:ascii="Arial" w:hAnsi="Arial" w:cs="Arial"/>
            <w:b/>
          </w:rPr>
          <w:id w:val="98262691"/>
          <w:placeholder>
            <w:docPart w:val="CD4D577FD0DA48F19071D337F73624F9"/>
          </w:placeholder>
          <w:text/>
        </w:sdtPr>
        <w:sdtContent>
          <w:r w:rsidR="00373D9E">
            <w:rPr>
              <w:rFonts w:ascii="Arial" w:hAnsi="Arial" w:cs="Arial"/>
              <w:b/>
            </w:rPr>
            <w:t>Andreas Wessels</w:t>
          </w:r>
        </w:sdtContent>
      </w:sdt>
      <w:r w:rsidR="005965A9" w:rsidRPr="004F75A3">
        <w:rPr>
          <w:sz w:val="22"/>
          <w:szCs w:val="22"/>
        </w:rPr>
        <w:tab/>
      </w:r>
      <w:r w:rsidR="005965A9">
        <w:tab/>
        <w:t xml:space="preserve">      </w:t>
      </w:r>
      <w:r w:rsidR="00373D9E">
        <w:t xml:space="preserve">                                    </w:t>
      </w:r>
      <w:r w:rsidR="005965A9">
        <w:rPr>
          <w:rFonts w:ascii="Arial" w:hAnsi="Arial" w:cs="Arial"/>
          <w:b/>
        </w:rPr>
        <w:t>Date</w:t>
      </w:r>
    </w:p>
    <w:p w:rsidR="005965A9" w:rsidRDefault="005965A9" w:rsidP="00324ECE"/>
    <w:p w:rsidR="000B63A8" w:rsidRPr="002357EB" w:rsidRDefault="000B63A8" w:rsidP="00324ECE"/>
    <w:sdt>
      <w:sdtPr>
        <w:rPr>
          <w:rFonts w:ascii="Arial" w:hAnsi="Arial" w:cs="Arial"/>
          <w:b/>
        </w:rPr>
        <w:id w:val="98262690"/>
        <w:placeholder>
          <w:docPart w:val="CD4D577FD0DA48F19071D337F73624F9"/>
        </w:placeholder>
        <w:text/>
      </w:sdtPr>
      <w:sdtContent>
        <w:p w:rsidR="005965A9" w:rsidRPr="002357EB" w:rsidRDefault="00373D9E" w:rsidP="00324ECE">
          <w:r>
            <w:rPr>
              <w:rFonts w:ascii="Arial" w:hAnsi="Arial" w:cs="Arial"/>
              <w:b/>
            </w:rPr>
            <w:t>Medi Mokuena and Merle Holden</w:t>
          </w:r>
          <w:r w:rsidR="005965A9">
            <w:rPr>
              <w:rFonts w:ascii="Arial" w:hAnsi="Arial" w:cs="Arial"/>
              <w:b/>
            </w:rPr>
            <w:t xml:space="preserve"> </w:t>
          </w:r>
          <w:r w:rsidR="005965A9" w:rsidRPr="002357EB">
            <w:rPr>
              <w:rFonts w:ascii="Arial" w:hAnsi="Arial" w:cs="Arial"/>
              <w:b/>
            </w:rPr>
            <w:t>concurring</w:t>
          </w:r>
        </w:p>
      </w:sdtContent>
    </w:sdt>
    <w:p w:rsidR="005965A9" w:rsidRDefault="005965A9" w:rsidP="00324ECE"/>
    <w:p w:rsidR="00FC3A6E" w:rsidRPr="002357EB" w:rsidRDefault="00FC3A6E" w:rsidP="00324ECE"/>
    <w:p w:rsidR="005965A9" w:rsidRDefault="00F54B76" w:rsidP="00324ECE">
      <w:pPr>
        <w:pStyle w:val="Heading4"/>
        <w:spacing w:line="360" w:lineRule="auto"/>
        <w:rPr>
          <w:b w:val="0"/>
        </w:rPr>
      </w:pPr>
      <w:sdt>
        <w:sdtPr>
          <w:rPr>
            <w:rFonts w:cs="Arial"/>
            <w:b w:val="0"/>
            <w:bCs w:val="0"/>
            <w:sz w:val="22"/>
            <w:szCs w:val="22"/>
          </w:rPr>
          <w:id w:val="98262689"/>
          <w:lock w:val="contentLocked"/>
          <w:placeholder>
            <w:docPart w:val="CD4D577FD0DA48F19071D337F73624F9"/>
          </w:placeholder>
          <w:text/>
        </w:sdtPr>
        <w:sdtContent>
          <w:r w:rsidR="005965A9" w:rsidRPr="006A2E06">
            <w:rPr>
              <w:rFonts w:cs="Arial"/>
              <w:b w:val="0"/>
              <w:bCs w:val="0"/>
            </w:rPr>
            <w:t xml:space="preserve">Tribunal </w:t>
          </w:r>
          <w:r w:rsidR="00FC3A6E">
            <w:rPr>
              <w:rFonts w:cs="Arial"/>
              <w:b w:val="0"/>
              <w:bCs w:val="0"/>
            </w:rPr>
            <w:t>r</w:t>
          </w:r>
          <w:r w:rsidR="005965A9" w:rsidRPr="006A2E06">
            <w:rPr>
              <w:rFonts w:cs="Arial"/>
              <w:b w:val="0"/>
              <w:bCs w:val="0"/>
            </w:rPr>
            <w:t>esearcher:</w:t>
          </w:r>
        </w:sdtContent>
      </w:sdt>
      <w:r w:rsidR="005965A9">
        <w:tab/>
      </w:r>
      <w:r w:rsidR="00B609EE">
        <w:tab/>
      </w:r>
      <w:r w:rsidR="00324ECE">
        <w:rPr>
          <w:b w:val="0"/>
        </w:rPr>
        <w:t>Ipeleng Selaledi</w:t>
      </w:r>
    </w:p>
    <w:p w:rsidR="005965A9" w:rsidRDefault="005965A9" w:rsidP="00324ECE">
      <w:pPr>
        <w:spacing w:line="360" w:lineRule="auto"/>
        <w:ind w:left="2880" w:hanging="2880"/>
        <w:jc w:val="both"/>
        <w:rPr>
          <w:rFonts w:ascii="Arial" w:hAnsi="Arial" w:cs="Arial"/>
        </w:rPr>
      </w:pPr>
      <w:r w:rsidRPr="00AB2526">
        <w:rPr>
          <w:rFonts w:ascii="Arial" w:hAnsi="Arial" w:cs="Arial"/>
        </w:rPr>
        <w:t>For the merging parties:</w:t>
      </w:r>
      <w:r w:rsidR="0012560E">
        <w:tab/>
      </w:r>
      <w:r w:rsidR="00B33C2D" w:rsidRPr="00F0507B">
        <w:rPr>
          <w:rFonts w:ascii="Arial" w:hAnsi="Arial" w:cs="Arial"/>
        </w:rPr>
        <w:t>Edward Nathan Sonnenbergs</w:t>
      </w:r>
      <w:r w:rsidR="000B63A8" w:rsidRPr="00F0507B">
        <w:rPr>
          <w:rFonts w:ascii="Arial" w:hAnsi="Arial" w:cs="Arial"/>
        </w:rPr>
        <w:t xml:space="preserve"> Inc.</w:t>
      </w:r>
    </w:p>
    <w:p w:rsidR="005965A9" w:rsidRPr="00D12AA8" w:rsidRDefault="00F54B76" w:rsidP="00324ECE">
      <w:pPr>
        <w:spacing w:line="360" w:lineRule="auto"/>
        <w:jc w:val="both"/>
        <w:rPr>
          <w:rFonts w:ascii="Arial" w:hAnsi="Arial" w:cs="Arial"/>
          <w:sz w:val="28"/>
          <w:szCs w:val="28"/>
        </w:rPr>
      </w:pPr>
      <w:sdt>
        <w:sdtPr>
          <w:rPr>
            <w:rFonts w:ascii="Arial" w:hAnsi="Arial" w:cs="Arial"/>
            <w:sz w:val="22"/>
            <w:szCs w:val="22"/>
          </w:rPr>
          <w:id w:val="98262687"/>
          <w:lock w:val="contentLocked"/>
          <w:placeholder>
            <w:docPart w:val="CD4D577FD0DA48F19071D337F73624F9"/>
          </w:placeholder>
          <w:text/>
        </w:sdtPr>
        <w:sdtContent>
          <w:r w:rsidR="005965A9" w:rsidRPr="006A2E06">
            <w:rPr>
              <w:rFonts w:ascii="Arial" w:hAnsi="Arial" w:cs="Arial"/>
            </w:rPr>
            <w:t>For the Commission:</w:t>
          </w:r>
        </w:sdtContent>
      </w:sdt>
      <w:r w:rsidR="005965A9" w:rsidRPr="002357EB">
        <w:tab/>
      </w:r>
      <w:r w:rsidR="00B33C2D">
        <w:rPr>
          <w:rFonts w:ascii="Arial" w:hAnsi="Arial" w:cs="Arial"/>
        </w:rPr>
        <w:t>Lerato Monareng</w:t>
      </w:r>
    </w:p>
    <w:p w:rsidR="005965A9" w:rsidRPr="00D12AA8" w:rsidRDefault="005965A9" w:rsidP="00324ECE">
      <w:pPr>
        <w:spacing w:line="360" w:lineRule="auto"/>
        <w:ind w:left="2880" w:hanging="2880"/>
        <w:rPr>
          <w:rFonts w:ascii="Arial" w:hAnsi="Arial" w:cs="Arial"/>
        </w:rPr>
      </w:pPr>
    </w:p>
    <w:p w:rsidR="005965A9" w:rsidRDefault="005965A9" w:rsidP="00324ECE"/>
    <w:p w:rsidR="005965A9" w:rsidRDefault="005965A9" w:rsidP="00324ECE"/>
    <w:p w:rsidR="005965A9" w:rsidRPr="00043B57" w:rsidRDefault="005965A9" w:rsidP="00324ECE">
      <w:pPr>
        <w:rPr>
          <w:rFonts w:ascii="Arial" w:hAnsi="Arial" w:cs="Arial"/>
        </w:rPr>
      </w:pPr>
    </w:p>
    <w:p w:rsidR="00F86EB2" w:rsidRDefault="00F86EB2"/>
    <w:sectPr w:rsidR="00F86EB2" w:rsidSect="00324ECE">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9F8" w:rsidRDefault="00AD69F8" w:rsidP="005965A9">
      <w:r>
        <w:separator/>
      </w:r>
    </w:p>
  </w:endnote>
  <w:endnote w:type="continuationSeparator" w:id="1">
    <w:p w:rsidR="00AD69F8" w:rsidRDefault="00AD69F8" w:rsidP="00596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7B" w:rsidRPr="00D363A7" w:rsidRDefault="00F54B76" w:rsidP="00324ECE">
    <w:r w:rsidRPr="00D363A7">
      <w:fldChar w:fldCharType="begin"/>
    </w:r>
    <w:r w:rsidR="00F0507B" w:rsidRPr="00D363A7">
      <w:instrText xml:space="preserve">PAGE  </w:instrText>
    </w:r>
    <w:r w:rsidRPr="00D363A7">
      <w:fldChar w:fldCharType="end"/>
    </w:r>
  </w:p>
  <w:p w:rsidR="00F0507B" w:rsidRDefault="00F0507B" w:rsidP="00324E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455284"/>
      <w:docPartObj>
        <w:docPartGallery w:val="Page Numbers (Bottom of Page)"/>
        <w:docPartUnique/>
      </w:docPartObj>
    </w:sdtPr>
    <w:sdtContent>
      <w:p w:rsidR="00F0507B" w:rsidRDefault="00F54B76">
        <w:pPr>
          <w:pStyle w:val="Footer"/>
          <w:jc w:val="right"/>
        </w:pPr>
        <w:r w:rsidRPr="00BE2E62">
          <w:rPr>
            <w:rFonts w:ascii="Arial" w:hAnsi="Arial" w:cs="Arial"/>
            <w:sz w:val="22"/>
            <w:szCs w:val="22"/>
          </w:rPr>
          <w:fldChar w:fldCharType="begin"/>
        </w:r>
        <w:r w:rsidR="00F0507B" w:rsidRPr="00BE2E62">
          <w:rPr>
            <w:rFonts w:ascii="Arial" w:hAnsi="Arial" w:cs="Arial"/>
            <w:sz w:val="22"/>
            <w:szCs w:val="22"/>
          </w:rPr>
          <w:instrText xml:space="preserve"> PAGE   \* MERGEFORMAT </w:instrText>
        </w:r>
        <w:r w:rsidRPr="00BE2E62">
          <w:rPr>
            <w:rFonts w:ascii="Arial" w:hAnsi="Arial" w:cs="Arial"/>
            <w:sz w:val="22"/>
            <w:szCs w:val="22"/>
          </w:rPr>
          <w:fldChar w:fldCharType="separate"/>
        </w:r>
        <w:r w:rsidR="00A951B0">
          <w:rPr>
            <w:rFonts w:ascii="Arial" w:hAnsi="Arial" w:cs="Arial"/>
            <w:noProof/>
            <w:sz w:val="22"/>
            <w:szCs w:val="22"/>
          </w:rPr>
          <w:t>1</w:t>
        </w:r>
        <w:r w:rsidRPr="00BE2E62">
          <w:rPr>
            <w:rFonts w:ascii="Arial" w:hAnsi="Arial" w:cs="Arial"/>
            <w:sz w:val="22"/>
            <w:szCs w:val="22"/>
          </w:rPr>
          <w:fldChar w:fldCharType="end"/>
        </w:r>
      </w:p>
    </w:sdtContent>
  </w:sdt>
  <w:p w:rsidR="00F0507B" w:rsidRDefault="00F0507B" w:rsidP="00324E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9F8" w:rsidRDefault="00AD69F8" w:rsidP="005965A9">
      <w:r>
        <w:separator/>
      </w:r>
    </w:p>
  </w:footnote>
  <w:footnote w:type="continuationSeparator" w:id="1">
    <w:p w:rsidR="00AD69F8" w:rsidRDefault="00AD69F8" w:rsidP="005965A9">
      <w:r>
        <w:continuationSeparator/>
      </w:r>
    </w:p>
  </w:footnote>
  <w:footnote w:id="2">
    <w:p w:rsidR="00F0507B" w:rsidRPr="004B2FBC" w:rsidRDefault="00F0507B">
      <w:pPr>
        <w:pStyle w:val="FootnoteText"/>
        <w:rPr>
          <w:rFonts w:ascii="Arial" w:hAnsi="Arial" w:cs="Arial"/>
          <w:lang w:val="en-ZA"/>
        </w:rPr>
      </w:pPr>
      <w:r>
        <w:rPr>
          <w:rStyle w:val="FootnoteReference"/>
        </w:rPr>
        <w:footnoteRef/>
      </w:r>
      <w:r>
        <w:t xml:space="preserve"> </w:t>
      </w:r>
      <w:r w:rsidRPr="004B2FBC">
        <w:rPr>
          <w:rFonts w:ascii="Arial" w:hAnsi="Arial" w:cs="Arial"/>
          <w:lang w:val="en-ZA"/>
        </w:rPr>
        <w:t xml:space="preserve">For full details of the transaction see </w:t>
      </w:r>
      <w:r w:rsidRPr="004B2FBC">
        <w:rPr>
          <w:rFonts w:ascii="Arial" w:hAnsi="Arial" w:cs="Arial"/>
          <w:i/>
          <w:lang w:val="en-ZA"/>
        </w:rPr>
        <w:t>inter al</w:t>
      </w:r>
      <w:r w:rsidR="004B2FBC" w:rsidRPr="004B2FBC">
        <w:rPr>
          <w:rFonts w:ascii="Arial" w:hAnsi="Arial" w:cs="Arial"/>
          <w:i/>
          <w:lang w:val="en-ZA"/>
        </w:rPr>
        <w:t>ia</w:t>
      </w:r>
      <w:r w:rsidRPr="004B2FBC">
        <w:rPr>
          <w:rFonts w:ascii="Arial" w:hAnsi="Arial" w:cs="Arial"/>
          <w:lang w:val="en-ZA"/>
        </w:rPr>
        <w:t xml:space="preserve"> record page</w:t>
      </w:r>
      <w:r w:rsidR="004B2FBC">
        <w:rPr>
          <w:rFonts w:ascii="Arial" w:hAnsi="Arial" w:cs="Arial"/>
          <w:lang w:val="en-ZA"/>
        </w:rPr>
        <w:t>s</w:t>
      </w:r>
      <w:r w:rsidRPr="004B2FBC">
        <w:rPr>
          <w:rFonts w:ascii="Arial" w:hAnsi="Arial" w:cs="Arial"/>
          <w:lang w:val="en-ZA"/>
        </w:rPr>
        <w:t xml:space="preserve"> 52 to 54: Commission’s report pages 7 to 9.</w:t>
      </w:r>
    </w:p>
  </w:footnote>
  <w:footnote w:id="3">
    <w:p w:rsidR="00F0507B" w:rsidRPr="00450C24" w:rsidRDefault="00F0507B">
      <w:pPr>
        <w:pStyle w:val="FootnoteText"/>
        <w:rPr>
          <w:lang w:val="en-ZA"/>
        </w:rPr>
      </w:pPr>
      <w:r>
        <w:rPr>
          <w:rStyle w:val="FootnoteReference"/>
        </w:rPr>
        <w:footnoteRef/>
      </w:r>
      <w:r>
        <w:t xml:space="preserve"> </w:t>
      </w:r>
      <w:proofErr w:type="gramStart"/>
      <w:r w:rsidRPr="00450C24">
        <w:rPr>
          <w:rFonts w:ascii="Arial" w:hAnsi="Arial" w:cs="Arial"/>
        </w:rPr>
        <w:t xml:space="preserve">Property known as the </w:t>
      </w:r>
      <w:r w:rsidRPr="00450C24">
        <w:rPr>
          <w:rFonts w:ascii="Arial" w:hAnsi="Arial" w:cs="Arial"/>
          <w:i/>
          <w:lang w:val="en-ZA"/>
        </w:rPr>
        <w:t>Fassifern</w:t>
      </w:r>
      <w:r w:rsidRPr="00450C24">
        <w:rPr>
          <w:rFonts w:ascii="Arial" w:hAnsi="Arial" w:cs="Arial"/>
          <w:lang w:val="en-ZA"/>
        </w:rPr>
        <w:t xml:space="preserve"> building.</w:t>
      </w:r>
      <w:proofErr w:type="gramEnd"/>
    </w:p>
  </w:footnote>
  <w:footnote w:id="4">
    <w:p w:rsidR="00F0507B" w:rsidRPr="00450C24" w:rsidRDefault="00F0507B">
      <w:pPr>
        <w:pStyle w:val="FootnoteText"/>
        <w:rPr>
          <w:lang w:val="en-ZA"/>
        </w:rPr>
      </w:pPr>
      <w:r>
        <w:rPr>
          <w:rStyle w:val="FootnoteReference"/>
        </w:rPr>
        <w:footnoteRef/>
      </w:r>
      <w:r>
        <w:t xml:space="preserve"> </w:t>
      </w:r>
      <w:proofErr w:type="gramStart"/>
      <w:r w:rsidRPr="00450C24">
        <w:rPr>
          <w:rFonts w:ascii="Arial" w:hAnsi="Arial" w:cs="Arial"/>
        </w:rPr>
        <w:t xml:space="preserve">Property known as the </w:t>
      </w:r>
      <w:r w:rsidRPr="00450C24">
        <w:rPr>
          <w:rFonts w:ascii="Arial" w:hAnsi="Arial" w:cs="Arial"/>
          <w:i/>
        </w:rPr>
        <w:t>Price City</w:t>
      </w:r>
      <w:r>
        <w:rPr>
          <w:rFonts w:ascii="Arial" w:hAnsi="Arial" w:cs="Arial"/>
        </w:rPr>
        <w:t xml:space="preserve"> </w:t>
      </w:r>
      <w:r w:rsidRPr="00450C24">
        <w:rPr>
          <w:rFonts w:ascii="Arial" w:hAnsi="Arial" w:cs="Arial"/>
          <w:lang w:val="en-ZA"/>
        </w:rPr>
        <w:t>building.</w:t>
      </w:r>
      <w:proofErr w:type="gramEnd"/>
    </w:p>
  </w:footnote>
  <w:footnote w:id="5">
    <w:p w:rsidR="00F0507B" w:rsidRPr="00D20470" w:rsidRDefault="00F0507B">
      <w:pPr>
        <w:pStyle w:val="FootnoteText"/>
        <w:rPr>
          <w:rFonts w:ascii="Arial" w:hAnsi="Arial" w:cs="Arial"/>
          <w:lang w:val="en-ZA"/>
        </w:rPr>
      </w:pPr>
      <w:r>
        <w:rPr>
          <w:rStyle w:val="FootnoteReference"/>
        </w:rPr>
        <w:footnoteRef/>
      </w:r>
      <w:r>
        <w:t xml:space="preserve"> </w:t>
      </w:r>
      <w:proofErr w:type="gramStart"/>
      <w:r w:rsidRPr="00F0507B">
        <w:rPr>
          <w:rFonts w:ascii="Arial" w:hAnsi="Arial" w:cs="Arial"/>
        </w:rPr>
        <w:t>Merger record, page 68.</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7B" w:rsidRDefault="00F0507B" w:rsidP="00324ECE">
    <w:pPr>
      <w:pStyle w:val="Header"/>
      <w:tabs>
        <w:tab w:val="clear" w:pos="4513"/>
        <w:tab w:val="clear" w:pos="9026"/>
        <w:tab w:val="left" w:pos="321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48CB"/>
    <w:multiLevelType w:val="hybridMultilevel"/>
    <w:tmpl w:val="BF9A279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133F7C36"/>
    <w:multiLevelType w:val="hybridMultilevel"/>
    <w:tmpl w:val="DB7A62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6F03547"/>
    <w:multiLevelType w:val="hybridMultilevel"/>
    <w:tmpl w:val="A4F84280"/>
    <w:lvl w:ilvl="0" w:tplc="DC02B5D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2E8141A0"/>
    <w:multiLevelType w:val="hybridMultilevel"/>
    <w:tmpl w:val="FF8686EA"/>
    <w:lvl w:ilvl="0" w:tplc="A55A12E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2EB92D39"/>
    <w:multiLevelType w:val="hybridMultilevel"/>
    <w:tmpl w:val="2D58E78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7E874C8"/>
    <w:multiLevelType w:val="hybridMultilevel"/>
    <w:tmpl w:val="43DE0D9E"/>
    <w:lvl w:ilvl="0" w:tplc="C09CD40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3AD70DC0"/>
    <w:multiLevelType w:val="hybridMultilevel"/>
    <w:tmpl w:val="66C619B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
    <w:nsid w:val="3E1D31B8"/>
    <w:multiLevelType w:val="hybridMultilevel"/>
    <w:tmpl w:val="2F2E4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1E11ED4"/>
    <w:multiLevelType w:val="hybridMultilevel"/>
    <w:tmpl w:val="A4F84280"/>
    <w:lvl w:ilvl="0" w:tplc="DC02B5D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80A6780"/>
    <w:multiLevelType w:val="hybridMultilevel"/>
    <w:tmpl w:val="E6D07DC4"/>
    <w:lvl w:ilvl="0" w:tplc="DC02B5D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4BD31189"/>
    <w:multiLevelType w:val="hybridMultilevel"/>
    <w:tmpl w:val="3B44086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nsid w:val="56ED0238"/>
    <w:multiLevelType w:val="hybridMultilevel"/>
    <w:tmpl w:val="F8488B20"/>
    <w:lvl w:ilvl="0" w:tplc="3974A70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570657D5"/>
    <w:multiLevelType w:val="hybridMultilevel"/>
    <w:tmpl w:val="857A33D0"/>
    <w:lvl w:ilvl="0" w:tplc="08CCFB04">
      <w:start w:val="1"/>
      <w:numFmt w:val="decimal"/>
      <w:suff w:val="space"/>
      <w:lvlText w:val="[%1]"/>
      <w:lvlJc w:val="left"/>
      <w:pPr>
        <w:ind w:left="360" w:hanging="360"/>
      </w:pPr>
      <w:rPr>
        <w:rFonts w:ascii="Arial" w:hAnsi="Arial" w:cs="Arial"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411A0A"/>
    <w:multiLevelType w:val="hybridMultilevel"/>
    <w:tmpl w:val="2FE837C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5C075077"/>
    <w:multiLevelType w:val="hybridMultilevel"/>
    <w:tmpl w:val="B62A107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C753BE4"/>
    <w:multiLevelType w:val="hybridMultilevel"/>
    <w:tmpl w:val="B8FE80D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6">
    <w:nsid w:val="5DE26347"/>
    <w:multiLevelType w:val="hybridMultilevel"/>
    <w:tmpl w:val="0BDE992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74F52F17"/>
    <w:multiLevelType w:val="hybridMultilevel"/>
    <w:tmpl w:val="A4F84280"/>
    <w:lvl w:ilvl="0" w:tplc="DC02B5D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nsid w:val="7A09728C"/>
    <w:multiLevelType w:val="hybridMultilevel"/>
    <w:tmpl w:val="A4F84280"/>
    <w:lvl w:ilvl="0" w:tplc="DC02B5D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7F912040"/>
    <w:multiLevelType w:val="hybridMultilevel"/>
    <w:tmpl w:val="98B4B5CC"/>
    <w:lvl w:ilvl="0" w:tplc="F468E9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14"/>
  </w:num>
  <w:num w:numId="5">
    <w:abstractNumId w:val="17"/>
  </w:num>
  <w:num w:numId="6">
    <w:abstractNumId w:val="18"/>
  </w:num>
  <w:num w:numId="7">
    <w:abstractNumId w:val="8"/>
  </w:num>
  <w:num w:numId="8">
    <w:abstractNumId w:val="2"/>
  </w:num>
  <w:num w:numId="9">
    <w:abstractNumId w:val="9"/>
  </w:num>
  <w:num w:numId="10">
    <w:abstractNumId w:val="15"/>
  </w:num>
  <w:num w:numId="11">
    <w:abstractNumId w:val="0"/>
  </w:num>
  <w:num w:numId="12">
    <w:abstractNumId w:val="1"/>
  </w:num>
  <w:num w:numId="13">
    <w:abstractNumId w:val="10"/>
  </w:num>
  <w:num w:numId="14">
    <w:abstractNumId w:val="3"/>
  </w:num>
  <w:num w:numId="15">
    <w:abstractNumId w:val="6"/>
  </w:num>
  <w:num w:numId="16">
    <w:abstractNumId w:val="4"/>
  </w:num>
  <w:num w:numId="17">
    <w:abstractNumId w:val="13"/>
  </w:num>
  <w:num w:numId="18">
    <w:abstractNumId w:val="19"/>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5965A9"/>
    <w:rsid w:val="00001650"/>
    <w:rsid w:val="00005643"/>
    <w:rsid w:val="0001652E"/>
    <w:rsid w:val="00023C5B"/>
    <w:rsid w:val="0002434F"/>
    <w:rsid w:val="00035615"/>
    <w:rsid w:val="00035626"/>
    <w:rsid w:val="000370A4"/>
    <w:rsid w:val="00051516"/>
    <w:rsid w:val="00062507"/>
    <w:rsid w:val="00071C45"/>
    <w:rsid w:val="0007564A"/>
    <w:rsid w:val="000A4E02"/>
    <w:rsid w:val="000B63A8"/>
    <w:rsid w:val="000B7BC9"/>
    <w:rsid w:val="000F0BB7"/>
    <w:rsid w:val="00105666"/>
    <w:rsid w:val="001127ED"/>
    <w:rsid w:val="0012560E"/>
    <w:rsid w:val="0014150E"/>
    <w:rsid w:val="00152A91"/>
    <w:rsid w:val="00152C3B"/>
    <w:rsid w:val="00154ED7"/>
    <w:rsid w:val="00163C1E"/>
    <w:rsid w:val="00170FB1"/>
    <w:rsid w:val="0017116C"/>
    <w:rsid w:val="00181160"/>
    <w:rsid w:val="00183334"/>
    <w:rsid w:val="0019352C"/>
    <w:rsid w:val="001C6AEE"/>
    <w:rsid w:val="001D30B8"/>
    <w:rsid w:val="001D4800"/>
    <w:rsid w:val="001F39B1"/>
    <w:rsid w:val="00200766"/>
    <w:rsid w:val="0022643A"/>
    <w:rsid w:val="0023136B"/>
    <w:rsid w:val="002519FE"/>
    <w:rsid w:val="00253FC1"/>
    <w:rsid w:val="00254EE8"/>
    <w:rsid w:val="00255547"/>
    <w:rsid w:val="00257C28"/>
    <w:rsid w:val="00292C56"/>
    <w:rsid w:val="002A154F"/>
    <w:rsid w:val="002A755B"/>
    <w:rsid w:val="002A7FD4"/>
    <w:rsid w:val="002C2A7A"/>
    <w:rsid w:val="002E056C"/>
    <w:rsid w:val="002E17F8"/>
    <w:rsid w:val="002E202D"/>
    <w:rsid w:val="002E3D54"/>
    <w:rsid w:val="003032F9"/>
    <w:rsid w:val="00304647"/>
    <w:rsid w:val="00312CC3"/>
    <w:rsid w:val="003177EA"/>
    <w:rsid w:val="00320E8E"/>
    <w:rsid w:val="00324ECE"/>
    <w:rsid w:val="00325EA2"/>
    <w:rsid w:val="00333B42"/>
    <w:rsid w:val="00342185"/>
    <w:rsid w:val="003626A5"/>
    <w:rsid w:val="00371A82"/>
    <w:rsid w:val="00373D9E"/>
    <w:rsid w:val="003776B2"/>
    <w:rsid w:val="00383933"/>
    <w:rsid w:val="003862FD"/>
    <w:rsid w:val="00387764"/>
    <w:rsid w:val="00387F3A"/>
    <w:rsid w:val="00390584"/>
    <w:rsid w:val="00397889"/>
    <w:rsid w:val="003B578B"/>
    <w:rsid w:val="003C5CB8"/>
    <w:rsid w:val="003D05A1"/>
    <w:rsid w:val="003D0686"/>
    <w:rsid w:val="003D218F"/>
    <w:rsid w:val="003D27C0"/>
    <w:rsid w:val="003D3175"/>
    <w:rsid w:val="003D4FA7"/>
    <w:rsid w:val="003D6E20"/>
    <w:rsid w:val="003E121D"/>
    <w:rsid w:val="003F717B"/>
    <w:rsid w:val="004014F2"/>
    <w:rsid w:val="00424363"/>
    <w:rsid w:val="00426878"/>
    <w:rsid w:val="00450C24"/>
    <w:rsid w:val="00452300"/>
    <w:rsid w:val="00470F8D"/>
    <w:rsid w:val="004766C3"/>
    <w:rsid w:val="004A22C7"/>
    <w:rsid w:val="004A64F3"/>
    <w:rsid w:val="004A7C24"/>
    <w:rsid w:val="004B2FBC"/>
    <w:rsid w:val="004C609E"/>
    <w:rsid w:val="004E1204"/>
    <w:rsid w:val="00516091"/>
    <w:rsid w:val="00525909"/>
    <w:rsid w:val="005965A9"/>
    <w:rsid w:val="005A0A2B"/>
    <w:rsid w:val="005B5C45"/>
    <w:rsid w:val="005C66D7"/>
    <w:rsid w:val="005D13A3"/>
    <w:rsid w:val="005E07E4"/>
    <w:rsid w:val="005F3F76"/>
    <w:rsid w:val="00600919"/>
    <w:rsid w:val="006052D8"/>
    <w:rsid w:val="0060661F"/>
    <w:rsid w:val="00611D35"/>
    <w:rsid w:val="00612713"/>
    <w:rsid w:val="00617745"/>
    <w:rsid w:val="006470C2"/>
    <w:rsid w:val="006518E4"/>
    <w:rsid w:val="00651E69"/>
    <w:rsid w:val="00670A11"/>
    <w:rsid w:val="00672E2B"/>
    <w:rsid w:val="00674354"/>
    <w:rsid w:val="0067543A"/>
    <w:rsid w:val="0067559D"/>
    <w:rsid w:val="006777A9"/>
    <w:rsid w:val="0068021A"/>
    <w:rsid w:val="00681521"/>
    <w:rsid w:val="00683D03"/>
    <w:rsid w:val="00697CAE"/>
    <w:rsid w:val="006A03F5"/>
    <w:rsid w:val="006B1FC7"/>
    <w:rsid w:val="006C2ED1"/>
    <w:rsid w:val="006C5068"/>
    <w:rsid w:val="006D06D0"/>
    <w:rsid w:val="006D56B0"/>
    <w:rsid w:val="006E4320"/>
    <w:rsid w:val="006F1899"/>
    <w:rsid w:val="007009D4"/>
    <w:rsid w:val="007024DF"/>
    <w:rsid w:val="00710563"/>
    <w:rsid w:val="00724189"/>
    <w:rsid w:val="00725541"/>
    <w:rsid w:val="007260EA"/>
    <w:rsid w:val="00726265"/>
    <w:rsid w:val="00726E6B"/>
    <w:rsid w:val="00733050"/>
    <w:rsid w:val="00742F54"/>
    <w:rsid w:val="00743FB6"/>
    <w:rsid w:val="007467F0"/>
    <w:rsid w:val="0075263E"/>
    <w:rsid w:val="0076137A"/>
    <w:rsid w:val="00776090"/>
    <w:rsid w:val="00793574"/>
    <w:rsid w:val="007B10C4"/>
    <w:rsid w:val="007B41BA"/>
    <w:rsid w:val="007C0E01"/>
    <w:rsid w:val="007C211C"/>
    <w:rsid w:val="007C4164"/>
    <w:rsid w:val="007C5B45"/>
    <w:rsid w:val="007F6C25"/>
    <w:rsid w:val="00850D48"/>
    <w:rsid w:val="00852226"/>
    <w:rsid w:val="00863F02"/>
    <w:rsid w:val="00874FA4"/>
    <w:rsid w:val="008821B9"/>
    <w:rsid w:val="008C1BED"/>
    <w:rsid w:val="008D051F"/>
    <w:rsid w:val="008D4D21"/>
    <w:rsid w:val="008D4F4C"/>
    <w:rsid w:val="008D5016"/>
    <w:rsid w:val="008D7AD7"/>
    <w:rsid w:val="008D7F70"/>
    <w:rsid w:val="008E5F6E"/>
    <w:rsid w:val="008F2740"/>
    <w:rsid w:val="0090352C"/>
    <w:rsid w:val="00923DBC"/>
    <w:rsid w:val="009507C6"/>
    <w:rsid w:val="00970C23"/>
    <w:rsid w:val="00981ED4"/>
    <w:rsid w:val="00984F1A"/>
    <w:rsid w:val="009C037A"/>
    <w:rsid w:val="009C10A0"/>
    <w:rsid w:val="009C14CD"/>
    <w:rsid w:val="009C7B76"/>
    <w:rsid w:val="009D5E19"/>
    <w:rsid w:val="009E1B71"/>
    <w:rsid w:val="009E40B2"/>
    <w:rsid w:val="009E597E"/>
    <w:rsid w:val="009F1F5A"/>
    <w:rsid w:val="00A01AEB"/>
    <w:rsid w:val="00A10B06"/>
    <w:rsid w:val="00A1425F"/>
    <w:rsid w:val="00A207EC"/>
    <w:rsid w:val="00A37FED"/>
    <w:rsid w:val="00A402C4"/>
    <w:rsid w:val="00A41FC9"/>
    <w:rsid w:val="00A43C93"/>
    <w:rsid w:val="00A44FD3"/>
    <w:rsid w:val="00A54869"/>
    <w:rsid w:val="00A56669"/>
    <w:rsid w:val="00A573AD"/>
    <w:rsid w:val="00A6733B"/>
    <w:rsid w:val="00A70F8D"/>
    <w:rsid w:val="00A723C4"/>
    <w:rsid w:val="00A873C5"/>
    <w:rsid w:val="00A951B0"/>
    <w:rsid w:val="00AA4857"/>
    <w:rsid w:val="00AA760D"/>
    <w:rsid w:val="00AB0BE8"/>
    <w:rsid w:val="00AB5C3F"/>
    <w:rsid w:val="00AC4897"/>
    <w:rsid w:val="00AC6EDC"/>
    <w:rsid w:val="00AD69F8"/>
    <w:rsid w:val="00AD77D5"/>
    <w:rsid w:val="00AE53BE"/>
    <w:rsid w:val="00B02BA2"/>
    <w:rsid w:val="00B0650A"/>
    <w:rsid w:val="00B06EE4"/>
    <w:rsid w:val="00B22079"/>
    <w:rsid w:val="00B25E69"/>
    <w:rsid w:val="00B33C2D"/>
    <w:rsid w:val="00B43BC5"/>
    <w:rsid w:val="00B5032C"/>
    <w:rsid w:val="00B560BF"/>
    <w:rsid w:val="00B609EE"/>
    <w:rsid w:val="00B617FD"/>
    <w:rsid w:val="00B76C5B"/>
    <w:rsid w:val="00B83309"/>
    <w:rsid w:val="00BA4B13"/>
    <w:rsid w:val="00BB45C0"/>
    <w:rsid w:val="00BB7DC8"/>
    <w:rsid w:val="00BD0533"/>
    <w:rsid w:val="00BD123E"/>
    <w:rsid w:val="00BD3442"/>
    <w:rsid w:val="00BE2E62"/>
    <w:rsid w:val="00BE3D31"/>
    <w:rsid w:val="00C01314"/>
    <w:rsid w:val="00C14481"/>
    <w:rsid w:val="00C240B2"/>
    <w:rsid w:val="00C53C45"/>
    <w:rsid w:val="00C53CCA"/>
    <w:rsid w:val="00C545E6"/>
    <w:rsid w:val="00C54FB6"/>
    <w:rsid w:val="00C62578"/>
    <w:rsid w:val="00C6616C"/>
    <w:rsid w:val="00C761B1"/>
    <w:rsid w:val="00C833B2"/>
    <w:rsid w:val="00CB07A7"/>
    <w:rsid w:val="00CC339C"/>
    <w:rsid w:val="00CC4F5C"/>
    <w:rsid w:val="00CD48E8"/>
    <w:rsid w:val="00CE51CC"/>
    <w:rsid w:val="00CF0A7A"/>
    <w:rsid w:val="00CF18C0"/>
    <w:rsid w:val="00CF198E"/>
    <w:rsid w:val="00CF3F5D"/>
    <w:rsid w:val="00D01F43"/>
    <w:rsid w:val="00D027FE"/>
    <w:rsid w:val="00D063FC"/>
    <w:rsid w:val="00D12AA8"/>
    <w:rsid w:val="00D16F8C"/>
    <w:rsid w:val="00D20470"/>
    <w:rsid w:val="00D21B58"/>
    <w:rsid w:val="00D2350C"/>
    <w:rsid w:val="00D308D6"/>
    <w:rsid w:val="00D44D7C"/>
    <w:rsid w:val="00D46D73"/>
    <w:rsid w:val="00D503FE"/>
    <w:rsid w:val="00D57B00"/>
    <w:rsid w:val="00D607EE"/>
    <w:rsid w:val="00D76D2B"/>
    <w:rsid w:val="00D878FB"/>
    <w:rsid w:val="00D95B94"/>
    <w:rsid w:val="00DA7CF4"/>
    <w:rsid w:val="00DC1E29"/>
    <w:rsid w:val="00DC7AAF"/>
    <w:rsid w:val="00DD0D83"/>
    <w:rsid w:val="00DD7FAC"/>
    <w:rsid w:val="00DE474F"/>
    <w:rsid w:val="00E01309"/>
    <w:rsid w:val="00E11C66"/>
    <w:rsid w:val="00E144DC"/>
    <w:rsid w:val="00E213D9"/>
    <w:rsid w:val="00E32A83"/>
    <w:rsid w:val="00E504E7"/>
    <w:rsid w:val="00E57D8B"/>
    <w:rsid w:val="00E659F4"/>
    <w:rsid w:val="00E67918"/>
    <w:rsid w:val="00E84837"/>
    <w:rsid w:val="00E9131B"/>
    <w:rsid w:val="00EA47AD"/>
    <w:rsid w:val="00EA5719"/>
    <w:rsid w:val="00EA5C37"/>
    <w:rsid w:val="00EB23D3"/>
    <w:rsid w:val="00EB5720"/>
    <w:rsid w:val="00EC2C39"/>
    <w:rsid w:val="00ED1DDA"/>
    <w:rsid w:val="00ED5062"/>
    <w:rsid w:val="00EE0939"/>
    <w:rsid w:val="00EE14F4"/>
    <w:rsid w:val="00EE1C8E"/>
    <w:rsid w:val="00EE3423"/>
    <w:rsid w:val="00EE5522"/>
    <w:rsid w:val="00EF7570"/>
    <w:rsid w:val="00F02C7D"/>
    <w:rsid w:val="00F042DC"/>
    <w:rsid w:val="00F0507B"/>
    <w:rsid w:val="00F1414B"/>
    <w:rsid w:val="00F15E4A"/>
    <w:rsid w:val="00F213F5"/>
    <w:rsid w:val="00F26E1C"/>
    <w:rsid w:val="00F30598"/>
    <w:rsid w:val="00F328FB"/>
    <w:rsid w:val="00F539BE"/>
    <w:rsid w:val="00F54B76"/>
    <w:rsid w:val="00F675F4"/>
    <w:rsid w:val="00F73A01"/>
    <w:rsid w:val="00F76069"/>
    <w:rsid w:val="00F80602"/>
    <w:rsid w:val="00F8086C"/>
    <w:rsid w:val="00F86EB2"/>
    <w:rsid w:val="00F878D9"/>
    <w:rsid w:val="00FC3A6E"/>
    <w:rsid w:val="00FC3AA0"/>
    <w:rsid w:val="00FC5443"/>
    <w:rsid w:val="00FD0DEA"/>
    <w:rsid w:val="00FD77A7"/>
    <w:rsid w:val="00FE182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A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965A9"/>
    <w:pPr>
      <w:keepNext/>
      <w:jc w:val="both"/>
      <w:outlineLvl w:val="0"/>
    </w:pPr>
    <w:rPr>
      <w:rFonts w:ascii="Arial" w:hAnsi="Arial"/>
      <w:b/>
      <w:bCs/>
      <w:sz w:val="22"/>
      <w:szCs w:val="20"/>
      <w:lang w:val="en-ZA"/>
    </w:rPr>
  </w:style>
  <w:style w:type="paragraph" w:styleId="Heading2">
    <w:name w:val="heading 2"/>
    <w:basedOn w:val="Normal"/>
    <w:next w:val="Normal"/>
    <w:link w:val="Heading2Char"/>
    <w:qFormat/>
    <w:rsid w:val="005965A9"/>
    <w:pPr>
      <w:keepNext/>
      <w:jc w:val="center"/>
      <w:outlineLvl w:val="1"/>
    </w:pPr>
    <w:rPr>
      <w:rFonts w:ascii="Arial" w:hAnsi="Arial"/>
      <w:b/>
      <w:bCs/>
      <w:sz w:val="22"/>
      <w:szCs w:val="20"/>
      <w:lang w:val="en-ZA"/>
    </w:rPr>
  </w:style>
  <w:style w:type="paragraph" w:styleId="Heading3">
    <w:name w:val="heading 3"/>
    <w:basedOn w:val="Normal"/>
    <w:next w:val="Normal"/>
    <w:link w:val="Heading3Char"/>
    <w:qFormat/>
    <w:rsid w:val="005965A9"/>
    <w:pPr>
      <w:keepNext/>
      <w:spacing w:line="480" w:lineRule="auto"/>
      <w:jc w:val="both"/>
      <w:outlineLvl w:val="2"/>
    </w:pPr>
    <w:rPr>
      <w:rFonts w:ascii="Arial" w:hAnsi="Arial"/>
      <w:b/>
      <w:bCs/>
      <w:sz w:val="22"/>
      <w:szCs w:val="20"/>
      <w:u w:val="single"/>
      <w:lang w:val="en-ZA"/>
    </w:rPr>
  </w:style>
  <w:style w:type="paragraph" w:styleId="Heading4">
    <w:name w:val="heading 4"/>
    <w:basedOn w:val="Normal"/>
    <w:next w:val="Normal"/>
    <w:link w:val="Heading4Char"/>
    <w:qFormat/>
    <w:rsid w:val="005965A9"/>
    <w:pPr>
      <w:keepNext/>
      <w:jc w:val="both"/>
      <w:outlineLvl w:val="3"/>
    </w:pPr>
    <w:rPr>
      <w:rFonts w:ascii="Arial" w:hAnsi="Arial"/>
      <w:b/>
      <w:bCs/>
      <w:lang w:val="en-ZA"/>
    </w:rPr>
  </w:style>
  <w:style w:type="paragraph" w:styleId="Heading5">
    <w:name w:val="heading 5"/>
    <w:basedOn w:val="Normal"/>
    <w:next w:val="Normal"/>
    <w:link w:val="Heading5Char"/>
    <w:qFormat/>
    <w:rsid w:val="005965A9"/>
    <w:pPr>
      <w:keepNext/>
      <w:spacing w:line="360" w:lineRule="auto"/>
      <w:outlineLvl w:val="4"/>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5A9"/>
    <w:rPr>
      <w:rFonts w:ascii="Arial" w:eastAsia="Times New Roman" w:hAnsi="Arial" w:cs="Times New Roman"/>
      <w:b/>
      <w:bCs/>
      <w:szCs w:val="20"/>
    </w:rPr>
  </w:style>
  <w:style w:type="character" w:customStyle="1" w:styleId="Heading2Char">
    <w:name w:val="Heading 2 Char"/>
    <w:basedOn w:val="DefaultParagraphFont"/>
    <w:link w:val="Heading2"/>
    <w:rsid w:val="005965A9"/>
    <w:rPr>
      <w:rFonts w:ascii="Arial" w:eastAsia="Times New Roman" w:hAnsi="Arial" w:cs="Times New Roman"/>
      <w:b/>
      <w:bCs/>
      <w:szCs w:val="20"/>
    </w:rPr>
  </w:style>
  <w:style w:type="character" w:customStyle="1" w:styleId="Heading3Char">
    <w:name w:val="Heading 3 Char"/>
    <w:basedOn w:val="DefaultParagraphFont"/>
    <w:link w:val="Heading3"/>
    <w:rsid w:val="005965A9"/>
    <w:rPr>
      <w:rFonts w:ascii="Arial" w:eastAsia="Times New Roman" w:hAnsi="Arial" w:cs="Times New Roman"/>
      <w:b/>
      <w:bCs/>
      <w:szCs w:val="20"/>
      <w:u w:val="single"/>
    </w:rPr>
  </w:style>
  <w:style w:type="character" w:customStyle="1" w:styleId="Heading4Char">
    <w:name w:val="Heading 4 Char"/>
    <w:basedOn w:val="DefaultParagraphFont"/>
    <w:link w:val="Heading4"/>
    <w:rsid w:val="005965A9"/>
    <w:rPr>
      <w:rFonts w:ascii="Arial" w:eastAsia="Times New Roman" w:hAnsi="Arial" w:cs="Times New Roman"/>
      <w:b/>
      <w:bCs/>
      <w:sz w:val="24"/>
      <w:szCs w:val="24"/>
    </w:rPr>
  </w:style>
  <w:style w:type="character" w:customStyle="1" w:styleId="Heading5Char">
    <w:name w:val="Heading 5 Char"/>
    <w:basedOn w:val="DefaultParagraphFont"/>
    <w:link w:val="Heading5"/>
    <w:rsid w:val="005965A9"/>
    <w:rPr>
      <w:rFonts w:ascii="Arial" w:eastAsia="Times New Roman" w:hAnsi="Arial" w:cs="Times New Roman"/>
      <w:b/>
      <w:bCs/>
      <w:szCs w:val="24"/>
      <w:lang w:val="en-GB"/>
    </w:rPr>
  </w:style>
  <w:style w:type="paragraph" w:styleId="BodyText">
    <w:name w:val="Body Text"/>
    <w:basedOn w:val="Normal"/>
    <w:link w:val="BodyTextChar"/>
    <w:semiHidden/>
    <w:rsid w:val="005965A9"/>
    <w:pPr>
      <w:spacing w:line="360" w:lineRule="auto"/>
      <w:jc w:val="both"/>
    </w:pPr>
    <w:rPr>
      <w:rFonts w:ascii="Arial" w:hAnsi="Arial"/>
      <w:sz w:val="22"/>
      <w:szCs w:val="20"/>
    </w:rPr>
  </w:style>
  <w:style w:type="character" w:customStyle="1" w:styleId="BodyTextChar">
    <w:name w:val="Body Text Char"/>
    <w:basedOn w:val="DefaultParagraphFont"/>
    <w:link w:val="BodyText"/>
    <w:semiHidden/>
    <w:rsid w:val="005965A9"/>
    <w:rPr>
      <w:rFonts w:ascii="Arial" w:eastAsia="Times New Roman" w:hAnsi="Arial" w:cs="Times New Roman"/>
      <w:szCs w:val="20"/>
      <w:lang w:val="en-GB"/>
    </w:rPr>
  </w:style>
  <w:style w:type="paragraph" w:styleId="ListParagraph">
    <w:name w:val="List Paragraph"/>
    <w:basedOn w:val="Normal"/>
    <w:uiPriority w:val="34"/>
    <w:qFormat/>
    <w:rsid w:val="005965A9"/>
    <w:pPr>
      <w:ind w:left="720"/>
    </w:pPr>
  </w:style>
  <w:style w:type="character" w:customStyle="1" w:styleId="Style2">
    <w:name w:val="Style2"/>
    <w:basedOn w:val="DefaultParagraphFont"/>
    <w:uiPriority w:val="1"/>
    <w:qFormat/>
    <w:rsid w:val="005965A9"/>
    <w:rPr>
      <w:rFonts w:ascii="Arial" w:hAnsi="Arial"/>
      <w:b/>
      <w:sz w:val="22"/>
    </w:rPr>
  </w:style>
  <w:style w:type="paragraph" w:styleId="FootnoteText">
    <w:name w:val="footnote text"/>
    <w:basedOn w:val="Normal"/>
    <w:link w:val="FootnoteTextChar"/>
    <w:uiPriority w:val="99"/>
    <w:semiHidden/>
    <w:unhideWhenUsed/>
    <w:rsid w:val="005965A9"/>
    <w:rPr>
      <w:sz w:val="20"/>
      <w:szCs w:val="20"/>
    </w:rPr>
  </w:style>
  <w:style w:type="character" w:customStyle="1" w:styleId="FootnoteTextChar">
    <w:name w:val="Footnote Text Char"/>
    <w:basedOn w:val="DefaultParagraphFont"/>
    <w:link w:val="FootnoteText"/>
    <w:uiPriority w:val="99"/>
    <w:semiHidden/>
    <w:rsid w:val="005965A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965A9"/>
    <w:rPr>
      <w:vertAlign w:val="superscript"/>
    </w:rPr>
  </w:style>
  <w:style w:type="character" w:styleId="Hyperlink">
    <w:name w:val="Hyperlink"/>
    <w:basedOn w:val="DefaultParagraphFont"/>
    <w:uiPriority w:val="99"/>
    <w:unhideWhenUsed/>
    <w:rsid w:val="005965A9"/>
    <w:rPr>
      <w:color w:val="0000FF" w:themeColor="hyperlink"/>
      <w:u w:val="single"/>
    </w:rPr>
  </w:style>
  <w:style w:type="paragraph" w:styleId="Header">
    <w:name w:val="header"/>
    <w:basedOn w:val="Normal"/>
    <w:link w:val="HeaderChar"/>
    <w:uiPriority w:val="99"/>
    <w:semiHidden/>
    <w:unhideWhenUsed/>
    <w:rsid w:val="005965A9"/>
    <w:pPr>
      <w:tabs>
        <w:tab w:val="center" w:pos="4513"/>
        <w:tab w:val="right" w:pos="9026"/>
      </w:tabs>
    </w:pPr>
  </w:style>
  <w:style w:type="character" w:customStyle="1" w:styleId="HeaderChar">
    <w:name w:val="Header Char"/>
    <w:basedOn w:val="DefaultParagraphFont"/>
    <w:link w:val="Header"/>
    <w:uiPriority w:val="99"/>
    <w:semiHidden/>
    <w:rsid w:val="005965A9"/>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5965A9"/>
  </w:style>
  <w:style w:type="paragraph" w:styleId="BalloonText">
    <w:name w:val="Balloon Text"/>
    <w:basedOn w:val="Normal"/>
    <w:link w:val="BalloonTextChar"/>
    <w:uiPriority w:val="99"/>
    <w:semiHidden/>
    <w:unhideWhenUsed/>
    <w:rsid w:val="005965A9"/>
    <w:rPr>
      <w:rFonts w:ascii="Tahoma" w:hAnsi="Tahoma" w:cs="Tahoma"/>
      <w:sz w:val="16"/>
      <w:szCs w:val="16"/>
    </w:rPr>
  </w:style>
  <w:style w:type="character" w:customStyle="1" w:styleId="BalloonTextChar">
    <w:name w:val="Balloon Text Char"/>
    <w:basedOn w:val="DefaultParagraphFont"/>
    <w:link w:val="BalloonText"/>
    <w:uiPriority w:val="99"/>
    <w:semiHidden/>
    <w:rsid w:val="005965A9"/>
    <w:rPr>
      <w:rFonts w:ascii="Tahoma" w:eastAsia="Times New Roman" w:hAnsi="Tahoma" w:cs="Tahoma"/>
      <w:sz w:val="16"/>
      <w:szCs w:val="16"/>
      <w:lang w:val="en-GB"/>
    </w:rPr>
  </w:style>
  <w:style w:type="paragraph" w:styleId="NoSpacing">
    <w:name w:val="No Spacing"/>
    <w:uiPriority w:val="1"/>
    <w:qFormat/>
    <w:rsid w:val="00154ED7"/>
    <w:pPr>
      <w:spacing w:after="0" w:line="240" w:lineRule="auto"/>
    </w:pPr>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E2E62"/>
    <w:pPr>
      <w:tabs>
        <w:tab w:val="center" w:pos="4513"/>
        <w:tab w:val="right" w:pos="9026"/>
      </w:tabs>
    </w:pPr>
  </w:style>
  <w:style w:type="character" w:customStyle="1" w:styleId="FooterChar">
    <w:name w:val="Footer Char"/>
    <w:basedOn w:val="DefaultParagraphFont"/>
    <w:link w:val="Footer"/>
    <w:uiPriority w:val="99"/>
    <w:rsid w:val="00BE2E62"/>
    <w:rPr>
      <w:rFonts w:ascii="Times New Roman" w:eastAsia="Times New Roman" w:hAnsi="Times New Roman" w:cs="Times New Roman"/>
      <w:sz w:val="24"/>
      <w:szCs w:val="24"/>
      <w:lang w:val="en-GB"/>
    </w:rPr>
  </w:style>
  <w:style w:type="table" w:styleId="TableGrid">
    <w:name w:val="Table Grid"/>
    <w:basedOn w:val="TableNormal"/>
    <w:uiPriority w:val="59"/>
    <w:rsid w:val="00981E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4D577FD0DA48F19071D337F73624F9"/>
        <w:category>
          <w:name w:val="General"/>
          <w:gallery w:val="placeholder"/>
        </w:category>
        <w:types>
          <w:type w:val="bbPlcHdr"/>
        </w:types>
        <w:behaviors>
          <w:behavior w:val="content"/>
        </w:behaviors>
        <w:guid w:val="{704CC6C2-DB67-4959-A6DF-AD77E5533831}"/>
      </w:docPartPr>
      <w:docPartBody>
        <w:p w:rsidR="00752004" w:rsidRDefault="00B655CE" w:rsidP="00B655CE">
          <w:pPr>
            <w:pStyle w:val="CD4D577FD0DA48F19071D337F73624F9"/>
          </w:pPr>
          <w:r w:rsidRPr="00644A6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55CE"/>
    <w:rsid w:val="000A5924"/>
    <w:rsid w:val="001E7982"/>
    <w:rsid w:val="0021263F"/>
    <w:rsid w:val="003050A0"/>
    <w:rsid w:val="00327231"/>
    <w:rsid w:val="004C1828"/>
    <w:rsid w:val="00527EAC"/>
    <w:rsid w:val="005516E7"/>
    <w:rsid w:val="006A37ED"/>
    <w:rsid w:val="006E1FE3"/>
    <w:rsid w:val="00752004"/>
    <w:rsid w:val="00980A89"/>
    <w:rsid w:val="009A46BA"/>
    <w:rsid w:val="00B655CE"/>
    <w:rsid w:val="00D36F28"/>
    <w:rsid w:val="00D94BF9"/>
    <w:rsid w:val="00E110C5"/>
    <w:rsid w:val="00ED0002"/>
    <w:rsid w:val="00F56669"/>
    <w:rsid w:val="00FB7FC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5CE"/>
    <w:rPr>
      <w:color w:val="808080"/>
    </w:rPr>
  </w:style>
  <w:style w:type="paragraph" w:customStyle="1" w:styleId="CD4D577FD0DA48F19071D337F73624F9">
    <w:name w:val="CD4D577FD0DA48F19071D337F73624F9"/>
    <w:rsid w:val="00B655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0865-E573-4894-A4B2-1FE61CAC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Songezo Ralarala</dc:creator>
  <cp:lastModifiedBy>Ipeleng Selaledi</cp:lastModifiedBy>
  <cp:revision>2</cp:revision>
  <cp:lastPrinted>2012-04-16T15:00:00Z</cp:lastPrinted>
  <dcterms:created xsi:type="dcterms:W3CDTF">2012-04-17T06:53:00Z</dcterms:created>
  <dcterms:modified xsi:type="dcterms:W3CDTF">2012-04-17T06:53:00Z</dcterms:modified>
</cp:coreProperties>
</file>