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3B2" w14:textId="77777777" w:rsidR="00735124" w:rsidRPr="00CA345C" w:rsidRDefault="00735124" w:rsidP="00735124">
      <w:pPr>
        <w:spacing w:after="0" w:line="240" w:lineRule="auto"/>
        <w:jc w:val="center"/>
        <w:rPr>
          <w:rFonts w:ascii="Arial" w:hAnsi="Arial" w:cs="Arial"/>
          <w:b/>
        </w:rPr>
      </w:pPr>
      <w:bookmarkStart w:id="0" w:name="_GoBack"/>
      <w:bookmarkEnd w:id="0"/>
      <w:r w:rsidRPr="00CA345C">
        <w:rPr>
          <w:rFonts w:ascii="Arial" w:hAnsi="Arial" w:cs="Arial"/>
          <w:b/>
          <w:noProof/>
          <w:lang w:val="en-US"/>
        </w:rPr>
        <w:drawing>
          <wp:inline distT="0" distB="0" distL="0" distR="0" wp14:anchorId="6DEFE51C" wp14:editId="2735578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C3B93C" w14:textId="77777777" w:rsidR="00735124" w:rsidRPr="00CA345C" w:rsidRDefault="00735124" w:rsidP="00735124">
      <w:pPr>
        <w:spacing w:after="0" w:line="240" w:lineRule="auto"/>
        <w:jc w:val="center"/>
        <w:rPr>
          <w:rFonts w:ascii="Arial" w:hAnsi="Arial" w:cs="Arial"/>
          <w:b/>
        </w:rPr>
      </w:pPr>
    </w:p>
    <w:p w14:paraId="61A5F6E8" w14:textId="77777777" w:rsidR="00735124" w:rsidRPr="00CA345C" w:rsidRDefault="00735124" w:rsidP="00735124">
      <w:pPr>
        <w:spacing w:after="0" w:line="240" w:lineRule="auto"/>
        <w:jc w:val="center"/>
        <w:rPr>
          <w:rFonts w:ascii="Arial" w:hAnsi="Arial" w:cs="Arial"/>
          <w:b/>
        </w:rPr>
      </w:pPr>
    </w:p>
    <w:p w14:paraId="36FE0064" w14:textId="77777777" w:rsidR="00735124" w:rsidRPr="00CA345C" w:rsidRDefault="00735124" w:rsidP="00735124">
      <w:pPr>
        <w:spacing w:after="0" w:line="240" w:lineRule="auto"/>
        <w:jc w:val="center"/>
        <w:rPr>
          <w:rFonts w:ascii="Arial" w:hAnsi="Arial" w:cs="Arial"/>
          <w:b/>
        </w:rPr>
      </w:pPr>
    </w:p>
    <w:p w14:paraId="4961DB90" w14:textId="77777777" w:rsidR="00735124" w:rsidRPr="00CA345C" w:rsidRDefault="005B2D3F" w:rsidP="00F71F48">
      <w:pPr>
        <w:spacing w:after="0" w:line="240" w:lineRule="auto"/>
        <w:jc w:val="center"/>
        <w:rPr>
          <w:rFonts w:ascii="Arial" w:hAnsi="Arial" w:cs="Arial"/>
          <w:b/>
        </w:rPr>
      </w:pPr>
      <w:r>
        <w:rPr>
          <w:rFonts w:ascii="Arial" w:hAnsi="Arial" w:cs="Arial"/>
          <w:b/>
        </w:rPr>
        <w:t xml:space="preserve">OUTCOME OF CASES HEARD BY </w:t>
      </w:r>
      <w:r w:rsidR="00735124" w:rsidRPr="00CA345C">
        <w:rPr>
          <w:rFonts w:ascii="Arial" w:hAnsi="Arial" w:cs="Arial"/>
          <w:b/>
        </w:rPr>
        <w:t xml:space="preserve">TRIBUNAL </w:t>
      </w:r>
      <w:r>
        <w:rPr>
          <w:rFonts w:ascii="Arial" w:hAnsi="Arial" w:cs="Arial"/>
          <w:b/>
        </w:rPr>
        <w:t xml:space="preserve">ON </w:t>
      </w:r>
      <w:r w:rsidR="00F71F48">
        <w:rPr>
          <w:rFonts w:ascii="Arial" w:hAnsi="Arial" w:cs="Arial"/>
          <w:b/>
        </w:rPr>
        <w:t>THURSDAY</w:t>
      </w:r>
      <w:r w:rsidR="00735124" w:rsidRPr="00CA345C">
        <w:rPr>
          <w:rFonts w:ascii="Arial" w:hAnsi="Arial" w:cs="Arial"/>
          <w:b/>
        </w:rPr>
        <w:t>, 10 NOVEMBER 2016</w:t>
      </w:r>
    </w:p>
    <w:p w14:paraId="4A30F7FB" w14:textId="77777777" w:rsidR="00735124" w:rsidRPr="00CA345C" w:rsidRDefault="00735124" w:rsidP="00735124">
      <w:pPr>
        <w:spacing w:after="0" w:line="240" w:lineRule="auto"/>
        <w:jc w:val="both"/>
        <w:rPr>
          <w:rFonts w:ascii="Arial" w:hAnsi="Arial" w:cs="Arial"/>
          <w:b/>
        </w:rPr>
      </w:pPr>
    </w:p>
    <w:p w14:paraId="53A63BC3" w14:textId="77777777" w:rsidR="00735124" w:rsidRPr="00CA345C" w:rsidRDefault="00735124" w:rsidP="00735124">
      <w:pPr>
        <w:spacing w:after="0" w:line="240" w:lineRule="auto"/>
        <w:jc w:val="both"/>
        <w:rPr>
          <w:rFonts w:ascii="Arial" w:hAnsi="Arial" w:cs="Arial"/>
          <w:b/>
        </w:rPr>
      </w:pPr>
    </w:p>
    <w:p w14:paraId="2B4F910A" w14:textId="77777777" w:rsidR="00735124" w:rsidRPr="00CA345C" w:rsidRDefault="00735124" w:rsidP="00735124">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35124" w:rsidRPr="00CA345C" w14:paraId="24F6A679" w14:textId="77777777" w:rsidTr="002E65B3">
        <w:trPr>
          <w:trHeight w:val="972"/>
        </w:trPr>
        <w:tc>
          <w:tcPr>
            <w:tcW w:w="3153" w:type="dxa"/>
            <w:shd w:val="clear" w:color="auto" w:fill="996633"/>
          </w:tcPr>
          <w:p w14:paraId="267C075F"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Type of matter</w:t>
            </w:r>
          </w:p>
        </w:tc>
        <w:tc>
          <w:tcPr>
            <w:tcW w:w="3198" w:type="dxa"/>
            <w:shd w:val="clear" w:color="auto" w:fill="996633"/>
          </w:tcPr>
          <w:p w14:paraId="7F33A013"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Parties involved</w:t>
            </w:r>
          </w:p>
        </w:tc>
        <w:tc>
          <w:tcPr>
            <w:tcW w:w="2873" w:type="dxa"/>
            <w:shd w:val="clear" w:color="auto" w:fill="996633"/>
          </w:tcPr>
          <w:p w14:paraId="7A90ED90"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Competition Commission’s recommendation to Tribunal</w:t>
            </w:r>
          </w:p>
        </w:tc>
      </w:tr>
      <w:tr w:rsidR="00735124" w:rsidRPr="00CA345C" w14:paraId="74454EFA" w14:textId="77777777" w:rsidTr="002E65B3">
        <w:trPr>
          <w:trHeight w:val="493"/>
        </w:trPr>
        <w:tc>
          <w:tcPr>
            <w:tcW w:w="3153" w:type="dxa"/>
          </w:tcPr>
          <w:p w14:paraId="255D3EDC" w14:textId="77777777" w:rsidR="00735124" w:rsidRPr="00CA345C" w:rsidRDefault="00735124" w:rsidP="002E65B3">
            <w:pPr>
              <w:jc w:val="both"/>
              <w:rPr>
                <w:rFonts w:ascii="Arial" w:hAnsi="Arial" w:cs="Arial"/>
              </w:rPr>
            </w:pPr>
            <w:r w:rsidRPr="00CA345C">
              <w:rPr>
                <w:rFonts w:ascii="Arial" w:hAnsi="Arial" w:cs="Arial"/>
              </w:rPr>
              <w:t>Large merger</w:t>
            </w:r>
          </w:p>
        </w:tc>
        <w:tc>
          <w:tcPr>
            <w:tcW w:w="3198" w:type="dxa"/>
          </w:tcPr>
          <w:p w14:paraId="05413BAB" w14:textId="77777777" w:rsidR="00735124" w:rsidRPr="00CA345C" w:rsidRDefault="00735124" w:rsidP="002E65B3">
            <w:pPr>
              <w:jc w:val="both"/>
              <w:rPr>
                <w:rFonts w:ascii="Arial" w:hAnsi="Arial" w:cs="Arial"/>
              </w:rPr>
            </w:pPr>
            <w:r w:rsidRPr="00CA345C">
              <w:rPr>
                <w:rFonts w:ascii="Arial" w:hAnsi="Arial" w:cs="Arial"/>
                <w:color w:val="000000"/>
              </w:rPr>
              <w:t>K2016379893 (South Africa) (Pty) Ltd And Universal Industries Corporation (Pty) Ltd</w:t>
            </w:r>
          </w:p>
        </w:tc>
        <w:tc>
          <w:tcPr>
            <w:tcW w:w="2873" w:type="dxa"/>
          </w:tcPr>
          <w:p w14:paraId="329AB603" w14:textId="77777777" w:rsidR="00735124" w:rsidRPr="00CA345C" w:rsidRDefault="001966BE" w:rsidP="002E65B3">
            <w:pPr>
              <w:jc w:val="both"/>
              <w:rPr>
                <w:rFonts w:ascii="Arial" w:hAnsi="Arial" w:cs="Arial"/>
              </w:rPr>
            </w:pPr>
            <w:r>
              <w:rPr>
                <w:rFonts w:ascii="Arial" w:hAnsi="Arial" w:cs="Arial"/>
              </w:rPr>
              <w:t>Approval without conditions</w:t>
            </w:r>
          </w:p>
        </w:tc>
      </w:tr>
      <w:tr w:rsidR="00735124" w:rsidRPr="00CA345C" w14:paraId="1E378F71" w14:textId="77777777" w:rsidTr="002E65B3">
        <w:trPr>
          <w:trHeight w:val="70"/>
        </w:trPr>
        <w:tc>
          <w:tcPr>
            <w:tcW w:w="3153" w:type="dxa"/>
          </w:tcPr>
          <w:p w14:paraId="21F3CE60" w14:textId="77777777" w:rsidR="00735124" w:rsidRPr="00CA345C" w:rsidRDefault="00735124" w:rsidP="002E65B3">
            <w:pPr>
              <w:jc w:val="both"/>
              <w:rPr>
                <w:rFonts w:ascii="Arial" w:hAnsi="Arial" w:cs="Arial"/>
              </w:rPr>
            </w:pPr>
            <w:r w:rsidRPr="00CA345C">
              <w:rPr>
                <w:rFonts w:ascii="Arial" w:hAnsi="Arial" w:cs="Arial"/>
              </w:rPr>
              <w:t>Large merger</w:t>
            </w:r>
          </w:p>
          <w:p w14:paraId="2140EE9A" w14:textId="77777777" w:rsidR="00735124" w:rsidRPr="00CA345C" w:rsidRDefault="00735124" w:rsidP="002E65B3">
            <w:pPr>
              <w:jc w:val="both"/>
              <w:rPr>
                <w:rFonts w:ascii="Arial" w:hAnsi="Arial" w:cs="Arial"/>
              </w:rPr>
            </w:pPr>
          </w:p>
        </w:tc>
        <w:tc>
          <w:tcPr>
            <w:tcW w:w="3198" w:type="dxa"/>
          </w:tcPr>
          <w:p w14:paraId="530E467D" w14:textId="77777777" w:rsidR="00735124" w:rsidRPr="00CA345C" w:rsidRDefault="00DC5085" w:rsidP="006F23AB">
            <w:pPr>
              <w:jc w:val="both"/>
              <w:rPr>
                <w:rFonts w:ascii="Arial" w:hAnsi="Arial" w:cs="Arial"/>
              </w:rPr>
            </w:pPr>
            <w:r>
              <w:rPr>
                <w:rFonts w:ascii="Arial" w:hAnsi="Arial" w:cs="Arial"/>
                <w:color w:val="000000"/>
              </w:rPr>
              <w:t xml:space="preserve">The Cullinan Hotel And businesses and underlying properties of </w:t>
            </w:r>
            <w:r w:rsidR="006F23AB">
              <w:rPr>
                <w:rFonts w:ascii="Arial" w:hAnsi="Arial" w:cs="Arial"/>
                <w:color w:val="000000"/>
              </w:rPr>
              <w:t>Sandton Sun,</w:t>
            </w:r>
            <w:r w:rsidR="00735124" w:rsidRPr="00CA345C">
              <w:rPr>
                <w:rFonts w:ascii="Arial" w:hAnsi="Arial" w:cs="Arial"/>
                <w:color w:val="000000"/>
              </w:rPr>
              <w:t xml:space="preserve"> The </w:t>
            </w:r>
            <w:r w:rsidR="006F23AB">
              <w:rPr>
                <w:rFonts w:ascii="Arial" w:hAnsi="Arial" w:cs="Arial"/>
                <w:color w:val="000000"/>
              </w:rPr>
              <w:t>Intercontinental Sandton Towers,</w:t>
            </w:r>
            <w:r w:rsidR="00735124" w:rsidRPr="00CA345C">
              <w:rPr>
                <w:rFonts w:ascii="Arial" w:hAnsi="Arial" w:cs="Arial"/>
                <w:color w:val="000000"/>
              </w:rPr>
              <w:t xml:space="preserve"> The Garden Court Sandton City; The Sandton Convention Centre</w:t>
            </w:r>
            <w:r w:rsidR="006F23AB">
              <w:rPr>
                <w:rFonts w:ascii="Arial" w:hAnsi="Arial" w:cs="Arial"/>
                <w:color w:val="000000"/>
              </w:rPr>
              <w:t xml:space="preserve"> property; and the rental enterprises in respect of Sandton Convention Centre and Virgin Active </w:t>
            </w:r>
          </w:p>
        </w:tc>
        <w:tc>
          <w:tcPr>
            <w:tcW w:w="2873" w:type="dxa"/>
          </w:tcPr>
          <w:p w14:paraId="65B2FA41"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00099A7C" w14:textId="77777777" w:rsidTr="002E65B3">
        <w:trPr>
          <w:trHeight w:val="70"/>
        </w:trPr>
        <w:tc>
          <w:tcPr>
            <w:tcW w:w="3153" w:type="dxa"/>
          </w:tcPr>
          <w:p w14:paraId="5486B73E"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4F30B384" w14:textId="77777777" w:rsidR="00735124" w:rsidRPr="00CA345C" w:rsidRDefault="00735124" w:rsidP="002E65B3">
            <w:pPr>
              <w:jc w:val="both"/>
              <w:rPr>
                <w:rFonts w:ascii="Arial" w:hAnsi="Arial" w:cs="Arial"/>
              </w:rPr>
            </w:pPr>
            <w:r w:rsidRPr="00CA345C">
              <w:rPr>
                <w:rFonts w:ascii="Arial" w:hAnsi="Arial" w:cs="Arial"/>
                <w:color w:val="000000"/>
              </w:rPr>
              <w:t>Fortress Income Fund Limited And Lodestone Reit Limited</w:t>
            </w:r>
          </w:p>
        </w:tc>
        <w:tc>
          <w:tcPr>
            <w:tcW w:w="2873" w:type="dxa"/>
          </w:tcPr>
          <w:p w14:paraId="1A63C1AC"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4EB3D1F4" w14:textId="77777777" w:rsidTr="002E65B3">
        <w:trPr>
          <w:trHeight w:val="70"/>
        </w:trPr>
        <w:tc>
          <w:tcPr>
            <w:tcW w:w="3153" w:type="dxa"/>
          </w:tcPr>
          <w:p w14:paraId="0B7846F7"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204722E3" w14:textId="77777777" w:rsidR="00735124" w:rsidRPr="00CA345C" w:rsidRDefault="00735124" w:rsidP="00735124">
            <w:pPr>
              <w:jc w:val="both"/>
              <w:rPr>
                <w:rFonts w:ascii="Arial" w:hAnsi="Arial" w:cs="Arial"/>
                <w:lang w:val="en-US"/>
              </w:rPr>
            </w:pPr>
            <w:r w:rsidRPr="00CA345C">
              <w:rPr>
                <w:rFonts w:ascii="Arial" w:hAnsi="Arial" w:cs="Arial"/>
                <w:color w:val="000000"/>
              </w:rPr>
              <w:t>Capital Propfund (Pty) Ltd And The Vacant Land and Immovable Property and letting Enterprise to Be Constructed On Portion 61 (A Portions of Portion 8) of the Farm Witfontein 16, In the City of Ekurhuleni, Gauteng</w:t>
            </w:r>
          </w:p>
          <w:p w14:paraId="64122597" w14:textId="77777777" w:rsidR="00735124" w:rsidRPr="00CA345C" w:rsidRDefault="00735124" w:rsidP="002E65B3">
            <w:pPr>
              <w:jc w:val="both"/>
              <w:rPr>
                <w:rFonts w:ascii="Arial" w:hAnsi="Arial" w:cs="Arial"/>
              </w:rPr>
            </w:pPr>
          </w:p>
        </w:tc>
        <w:tc>
          <w:tcPr>
            <w:tcW w:w="2873" w:type="dxa"/>
          </w:tcPr>
          <w:p w14:paraId="2738F24A" w14:textId="77777777" w:rsidR="00735124" w:rsidRPr="00CA345C" w:rsidRDefault="001966BE" w:rsidP="002E65B3">
            <w:pPr>
              <w:rPr>
                <w:rFonts w:ascii="Arial" w:hAnsi="Arial" w:cs="Arial"/>
              </w:rPr>
            </w:pPr>
            <w:r>
              <w:rPr>
                <w:rFonts w:ascii="Arial" w:hAnsi="Arial" w:cs="Arial"/>
              </w:rPr>
              <w:t xml:space="preserve">Approval without conditions </w:t>
            </w:r>
          </w:p>
        </w:tc>
      </w:tr>
      <w:tr w:rsidR="00735124" w:rsidRPr="00CA345C" w14:paraId="4247E090" w14:textId="77777777" w:rsidTr="002E65B3">
        <w:trPr>
          <w:trHeight w:val="70"/>
        </w:trPr>
        <w:tc>
          <w:tcPr>
            <w:tcW w:w="3153" w:type="dxa"/>
          </w:tcPr>
          <w:p w14:paraId="638A6C02"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505E77EB" w14:textId="77777777" w:rsidR="00735124" w:rsidRPr="00CA345C" w:rsidRDefault="00735124" w:rsidP="002E65B3">
            <w:pPr>
              <w:jc w:val="both"/>
              <w:rPr>
                <w:rFonts w:ascii="Arial" w:hAnsi="Arial" w:cs="Arial"/>
                <w:color w:val="000000"/>
              </w:rPr>
            </w:pPr>
            <w:r w:rsidRPr="00CA345C">
              <w:rPr>
                <w:rFonts w:ascii="Arial" w:hAnsi="Arial" w:cs="Arial"/>
                <w:color w:val="000000"/>
              </w:rPr>
              <w:t>Clicks Retailers (Pty) Ltd And Netcare Pharmacies (Pty) Ltd and Netcare Pharmacies 2 (Pty) Ltd</w:t>
            </w:r>
          </w:p>
        </w:tc>
        <w:tc>
          <w:tcPr>
            <w:tcW w:w="2873" w:type="dxa"/>
          </w:tcPr>
          <w:p w14:paraId="532B617D" w14:textId="77777777" w:rsidR="00735124" w:rsidRPr="00CA345C" w:rsidRDefault="00DC5E9F" w:rsidP="002E65B3">
            <w:pPr>
              <w:rPr>
                <w:rFonts w:ascii="Arial" w:hAnsi="Arial" w:cs="Arial"/>
              </w:rPr>
            </w:pPr>
            <w:r w:rsidRPr="00CA345C">
              <w:rPr>
                <w:rFonts w:ascii="Arial" w:hAnsi="Arial" w:cs="Arial"/>
              </w:rPr>
              <w:t>Approval with conditions</w:t>
            </w:r>
          </w:p>
        </w:tc>
      </w:tr>
    </w:tbl>
    <w:p w14:paraId="5A7EBA38" w14:textId="77777777" w:rsidR="00735124" w:rsidRPr="00CA345C" w:rsidRDefault="00735124" w:rsidP="00735124">
      <w:pPr>
        <w:spacing w:after="0" w:line="240" w:lineRule="auto"/>
        <w:jc w:val="both"/>
        <w:rPr>
          <w:rFonts w:ascii="Arial" w:eastAsia="Calibri" w:hAnsi="Arial" w:cs="Arial"/>
          <w:b/>
        </w:rPr>
      </w:pPr>
    </w:p>
    <w:p w14:paraId="4ABAE23D" w14:textId="77777777" w:rsidR="00791A55" w:rsidRPr="00CA345C" w:rsidRDefault="00B34354" w:rsidP="00791A55">
      <w:pPr>
        <w:spacing w:after="0" w:line="240" w:lineRule="auto"/>
        <w:jc w:val="both"/>
        <w:rPr>
          <w:rFonts w:ascii="Arial" w:hAnsi="Arial" w:cs="Arial"/>
          <w:b/>
        </w:rPr>
      </w:pPr>
      <w:r>
        <w:rPr>
          <w:rFonts w:ascii="Arial" w:hAnsi="Arial" w:cs="Arial"/>
          <w:b/>
        </w:rPr>
        <w:t xml:space="preserve">Tribunal approves </w:t>
      </w:r>
      <w:r w:rsidR="00791A55" w:rsidRPr="00CA345C">
        <w:rPr>
          <w:rFonts w:ascii="Arial" w:hAnsi="Arial" w:cs="Arial"/>
          <w:b/>
        </w:rPr>
        <w:t xml:space="preserve">newly formed entity and </w:t>
      </w:r>
      <w:r w:rsidR="00791A55" w:rsidRPr="00CA345C">
        <w:rPr>
          <w:rFonts w:ascii="Arial" w:hAnsi="Arial" w:cs="Arial"/>
          <w:b/>
          <w:color w:val="000000"/>
        </w:rPr>
        <w:t>Universal Industries Corporation</w:t>
      </w:r>
    </w:p>
    <w:p w14:paraId="7E862D93" w14:textId="77777777" w:rsidR="00791A55" w:rsidRPr="00CA345C" w:rsidRDefault="00791A55" w:rsidP="00791A55">
      <w:pPr>
        <w:spacing w:after="0" w:line="240" w:lineRule="auto"/>
        <w:jc w:val="both"/>
        <w:rPr>
          <w:rFonts w:ascii="Arial" w:hAnsi="Arial" w:cs="Arial"/>
        </w:rPr>
      </w:pPr>
    </w:p>
    <w:p w14:paraId="7C8F646C"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rPr>
        <w:t xml:space="preserve">The Tribunal </w:t>
      </w:r>
      <w:r w:rsidR="00B34354">
        <w:rPr>
          <w:rFonts w:ascii="Arial" w:hAnsi="Arial" w:cs="Arial"/>
        </w:rPr>
        <w:t xml:space="preserve">has approved without conditions the </w:t>
      </w:r>
      <w:r w:rsidRPr="00CA345C">
        <w:rPr>
          <w:rFonts w:ascii="Arial" w:hAnsi="Arial" w:cs="Arial"/>
        </w:rPr>
        <w:t xml:space="preserve">merger of newly formed entity </w:t>
      </w:r>
      <w:r w:rsidRPr="00CA345C">
        <w:rPr>
          <w:rFonts w:ascii="Arial" w:hAnsi="Arial" w:cs="Arial"/>
          <w:color w:val="000000"/>
        </w:rPr>
        <w:t xml:space="preserve">K2016379893 (South Africa) (Pty) Ltd (Bidco) and target firm Universal Industries Corporation (Pty) Ltd (Unicorp). </w:t>
      </w:r>
    </w:p>
    <w:p w14:paraId="240C8589" w14:textId="77777777" w:rsidR="00791A55" w:rsidRPr="00CA345C" w:rsidRDefault="00791A55" w:rsidP="00791A55">
      <w:pPr>
        <w:spacing w:after="0" w:line="240" w:lineRule="auto"/>
        <w:jc w:val="both"/>
        <w:rPr>
          <w:rFonts w:ascii="Arial" w:hAnsi="Arial" w:cs="Arial"/>
          <w:color w:val="000000"/>
        </w:rPr>
      </w:pPr>
    </w:p>
    <w:p w14:paraId="0F6BADD1"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 xml:space="preserve">Unicorp and its subsidiaries largely manufacture and distribute commercial food preparation and storage equipment mainly to the food retail, wholesale, hospitality, manufacturing and related industries. </w:t>
      </w:r>
    </w:p>
    <w:p w14:paraId="30F7E49F" w14:textId="77777777" w:rsidR="00791A55" w:rsidRPr="00CA345C" w:rsidRDefault="00791A55" w:rsidP="00791A55">
      <w:pPr>
        <w:spacing w:after="0" w:line="240" w:lineRule="auto"/>
        <w:jc w:val="both"/>
        <w:rPr>
          <w:rFonts w:ascii="Arial" w:hAnsi="Arial" w:cs="Arial"/>
          <w:color w:val="000000"/>
        </w:rPr>
      </w:pPr>
    </w:p>
    <w:p w14:paraId="310A7C5B"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Bidco’s investments are largely in the manufacture and supply of knitted synthetic sha</w:t>
      </w:r>
      <w:r w:rsidR="00CA345C">
        <w:rPr>
          <w:rFonts w:ascii="Arial" w:hAnsi="Arial" w:cs="Arial"/>
          <w:color w:val="000000"/>
        </w:rPr>
        <w:t xml:space="preserve">de netting fabrics, as well as </w:t>
      </w:r>
      <w:r w:rsidRPr="00CA345C">
        <w:rPr>
          <w:rFonts w:ascii="Arial" w:hAnsi="Arial" w:cs="Arial"/>
          <w:color w:val="000000"/>
        </w:rPr>
        <w:t xml:space="preserve">fruit and vegetable bags, hot and cold asphalt products to the road construction sector, technological products and mining safety products. </w:t>
      </w:r>
    </w:p>
    <w:p w14:paraId="7A518BAB" w14:textId="77777777" w:rsidR="00791A55" w:rsidRPr="00CA345C" w:rsidRDefault="00791A55" w:rsidP="00791A55">
      <w:pPr>
        <w:spacing w:after="0" w:line="240" w:lineRule="auto"/>
        <w:jc w:val="both"/>
        <w:rPr>
          <w:rFonts w:ascii="Arial" w:hAnsi="Arial" w:cs="Arial"/>
        </w:rPr>
      </w:pPr>
    </w:p>
    <w:p w14:paraId="25680C72" w14:textId="77777777" w:rsidR="00791A55" w:rsidRPr="00CA345C" w:rsidRDefault="00B34354" w:rsidP="00791A55">
      <w:pPr>
        <w:spacing w:after="0" w:line="240" w:lineRule="auto"/>
        <w:jc w:val="both"/>
        <w:rPr>
          <w:rFonts w:ascii="Arial" w:hAnsi="Arial" w:cs="Arial"/>
        </w:rPr>
      </w:pPr>
      <w:r>
        <w:rPr>
          <w:rFonts w:ascii="Arial" w:hAnsi="Arial" w:cs="Arial"/>
        </w:rPr>
        <w:t>Given that there were</w:t>
      </w:r>
      <w:r w:rsidR="00791A55" w:rsidRPr="00CA345C">
        <w:rPr>
          <w:rFonts w:ascii="Arial" w:hAnsi="Arial" w:cs="Arial"/>
        </w:rPr>
        <w:t xml:space="preserve"> no overlaps in the activities of the merging parties, the Commission </w:t>
      </w:r>
      <w:r w:rsidR="004B01A5">
        <w:rPr>
          <w:rFonts w:ascii="Arial" w:hAnsi="Arial" w:cs="Arial"/>
        </w:rPr>
        <w:t xml:space="preserve">had recommended that the merger </w:t>
      </w:r>
      <w:r>
        <w:rPr>
          <w:rFonts w:ascii="Arial" w:hAnsi="Arial" w:cs="Arial"/>
        </w:rPr>
        <w:t xml:space="preserve">be approved without conditions as </w:t>
      </w:r>
      <w:r w:rsidR="004B01A5">
        <w:rPr>
          <w:rFonts w:ascii="Arial" w:hAnsi="Arial" w:cs="Arial"/>
        </w:rPr>
        <w:t xml:space="preserve">it was felt that the </w:t>
      </w:r>
      <w:r w:rsidR="006E0E40">
        <w:rPr>
          <w:rFonts w:ascii="Arial" w:hAnsi="Arial" w:cs="Arial"/>
        </w:rPr>
        <w:t>transaction was</w:t>
      </w:r>
      <w:r w:rsidR="00791A55" w:rsidRPr="00CA345C">
        <w:rPr>
          <w:rFonts w:ascii="Arial" w:hAnsi="Arial" w:cs="Arial"/>
        </w:rPr>
        <w:t xml:space="preserve"> unlikely to substantially prevent or lessen competition.</w:t>
      </w:r>
    </w:p>
    <w:p w14:paraId="23B2257E" w14:textId="77777777" w:rsidR="001977F4" w:rsidRPr="00CA345C" w:rsidRDefault="001977F4" w:rsidP="00735124">
      <w:pPr>
        <w:spacing w:after="0" w:line="240" w:lineRule="auto"/>
        <w:jc w:val="both"/>
        <w:rPr>
          <w:rFonts w:ascii="Arial" w:hAnsi="Arial" w:cs="Arial"/>
          <w:color w:val="000000"/>
        </w:rPr>
      </w:pPr>
    </w:p>
    <w:p w14:paraId="04550F78" w14:textId="77777777" w:rsidR="002D08DE" w:rsidRDefault="002D08DE" w:rsidP="002D08DE">
      <w:pPr>
        <w:spacing w:after="0" w:line="240" w:lineRule="auto"/>
        <w:jc w:val="both"/>
        <w:rPr>
          <w:rFonts w:ascii="Arial" w:hAnsi="Arial" w:cs="Arial"/>
          <w:b/>
          <w:color w:val="000000"/>
        </w:rPr>
      </w:pPr>
      <w:r w:rsidRPr="002D08DE">
        <w:rPr>
          <w:rFonts w:ascii="Arial" w:hAnsi="Arial" w:cs="Arial"/>
          <w:b/>
          <w:color w:val="000000"/>
        </w:rPr>
        <w:t>Merger</w:t>
      </w:r>
      <w:r w:rsidR="00DC5085">
        <w:rPr>
          <w:rFonts w:ascii="Arial" w:hAnsi="Arial" w:cs="Arial"/>
          <w:b/>
          <w:color w:val="000000"/>
        </w:rPr>
        <w:t xml:space="preserve"> of Cullinan Hotel</w:t>
      </w:r>
      <w:r w:rsidR="006F23AB">
        <w:rPr>
          <w:rFonts w:ascii="Arial" w:hAnsi="Arial" w:cs="Arial"/>
          <w:b/>
          <w:color w:val="000000"/>
        </w:rPr>
        <w:t>, Tsogo Sun subsidiary, and hotel businesses and underlying hotel properties</w:t>
      </w:r>
      <w:r w:rsidR="00DC5085">
        <w:rPr>
          <w:rFonts w:ascii="Arial" w:hAnsi="Arial" w:cs="Arial"/>
          <w:b/>
          <w:color w:val="000000"/>
        </w:rPr>
        <w:t xml:space="preserve"> approved</w:t>
      </w:r>
      <w:r w:rsidR="006F23AB">
        <w:rPr>
          <w:rFonts w:ascii="Arial" w:hAnsi="Arial" w:cs="Arial"/>
          <w:b/>
          <w:color w:val="000000"/>
        </w:rPr>
        <w:t xml:space="preserve"> by the Tribunal</w:t>
      </w:r>
    </w:p>
    <w:p w14:paraId="4E3F2704" w14:textId="77777777" w:rsidR="006F23AB" w:rsidRDefault="006F23AB" w:rsidP="002D08DE">
      <w:pPr>
        <w:spacing w:after="0" w:line="240" w:lineRule="auto"/>
        <w:jc w:val="both"/>
        <w:rPr>
          <w:rFonts w:ascii="Arial" w:hAnsi="Arial" w:cs="Arial"/>
          <w:b/>
          <w:color w:val="000000"/>
        </w:rPr>
      </w:pPr>
    </w:p>
    <w:p w14:paraId="67C895AC" w14:textId="77777777" w:rsidR="006F23AB" w:rsidRPr="006F23AB" w:rsidRDefault="006F23AB" w:rsidP="002D08DE">
      <w:pPr>
        <w:spacing w:after="0" w:line="240" w:lineRule="auto"/>
        <w:jc w:val="both"/>
        <w:rPr>
          <w:rFonts w:ascii="Arial" w:hAnsi="Arial" w:cs="Arial"/>
          <w:color w:val="000000"/>
        </w:rPr>
      </w:pPr>
      <w:r w:rsidRPr="006F23AB">
        <w:rPr>
          <w:rFonts w:ascii="Arial" w:hAnsi="Arial" w:cs="Arial"/>
          <w:color w:val="000000"/>
        </w:rPr>
        <w:t>The Tribunal has approved without conditions the merger of the Tsogo Sun Holding Ltd subsidiary Cullinan Hotel and the businesses and underlying properties of Sandton Sun, The Intercontinental Sandton Towers, The Garden Court Sandton City; The Sandton Convention Centre property; and the rental enterprises in respect of Sandton Convention Centre and Virgin Active</w:t>
      </w:r>
    </w:p>
    <w:p w14:paraId="1522E3CB" w14:textId="77777777" w:rsidR="00DC5085" w:rsidRPr="006F23AB" w:rsidRDefault="00DC5085" w:rsidP="002D08DE">
      <w:pPr>
        <w:spacing w:after="0" w:line="240" w:lineRule="auto"/>
        <w:jc w:val="both"/>
        <w:rPr>
          <w:rFonts w:ascii="Arial" w:hAnsi="Arial" w:cs="Arial"/>
          <w:color w:val="000000"/>
        </w:rPr>
      </w:pPr>
    </w:p>
    <w:p w14:paraId="7689A355" w14:textId="77777777" w:rsidR="00A82408" w:rsidRPr="006F23AB" w:rsidRDefault="006F23AB" w:rsidP="00735124">
      <w:pPr>
        <w:spacing w:after="0" w:line="240" w:lineRule="auto"/>
        <w:jc w:val="both"/>
        <w:rPr>
          <w:rFonts w:ascii="Arial" w:hAnsi="Arial" w:cs="Arial"/>
          <w:color w:val="000000"/>
        </w:rPr>
      </w:pPr>
      <w:r w:rsidRPr="006F23AB">
        <w:rPr>
          <w:rFonts w:ascii="Arial" w:hAnsi="Arial" w:cs="Arial"/>
          <w:color w:val="000000"/>
        </w:rPr>
        <w:t xml:space="preserve">The Cullinan is a joint venture between Southern Sun Hotel Interests and Liberty. </w:t>
      </w:r>
    </w:p>
    <w:p w14:paraId="194BE3C0" w14:textId="77777777" w:rsidR="006F23AB" w:rsidRPr="00CA345C" w:rsidRDefault="006F23AB" w:rsidP="00735124">
      <w:pPr>
        <w:spacing w:after="0" w:line="240" w:lineRule="auto"/>
        <w:jc w:val="both"/>
        <w:rPr>
          <w:rFonts w:ascii="Arial" w:hAnsi="Arial" w:cs="Arial"/>
          <w:color w:val="000000"/>
        </w:rPr>
      </w:pPr>
    </w:p>
    <w:p w14:paraId="0F6CF792" w14:textId="77777777" w:rsidR="00A82408" w:rsidRPr="00CA345C" w:rsidRDefault="00A82408" w:rsidP="00735124">
      <w:pPr>
        <w:spacing w:after="0" w:line="240" w:lineRule="auto"/>
        <w:jc w:val="both"/>
        <w:rPr>
          <w:rFonts w:ascii="Arial" w:hAnsi="Arial" w:cs="Arial"/>
          <w:b/>
          <w:color w:val="000000"/>
        </w:rPr>
      </w:pPr>
      <w:r w:rsidRPr="00CA345C">
        <w:rPr>
          <w:rFonts w:ascii="Arial" w:hAnsi="Arial" w:cs="Arial"/>
          <w:b/>
          <w:color w:val="000000"/>
        </w:rPr>
        <w:t>Merger between the JSE-listed Fortress Income Fund Ltd and Lodestone REIT Ltd</w:t>
      </w:r>
      <w:r w:rsidR="006E0E40">
        <w:rPr>
          <w:rFonts w:ascii="Arial" w:hAnsi="Arial" w:cs="Arial"/>
          <w:b/>
          <w:color w:val="000000"/>
        </w:rPr>
        <w:t xml:space="preserve"> approved</w:t>
      </w:r>
    </w:p>
    <w:p w14:paraId="62626611" w14:textId="77777777" w:rsidR="00A82408" w:rsidRPr="00CA345C" w:rsidRDefault="00A82408" w:rsidP="00735124">
      <w:pPr>
        <w:spacing w:after="0" w:line="240" w:lineRule="auto"/>
        <w:jc w:val="both"/>
        <w:rPr>
          <w:rFonts w:ascii="Arial" w:hAnsi="Arial" w:cs="Arial"/>
          <w:b/>
          <w:color w:val="000000"/>
        </w:rPr>
      </w:pPr>
    </w:p>
    <w:p w14:paraId="73F285B2" w14:textId="77777777" w:rsidR="00735124" w:rsidRPr="00CA345C" w:rsidRDefault="006E0E40" w:rsidP="00735124">
      <w:pPr>
        <w:spacing w:after="0" w:line="240" w:lineRule="auto"/>
        <w:jc w:val="both"/>
        <w:rPr>
          <w:rFonts w:ascii="Arial" w:hAnsi="Arial" w:cs="Arial"/>
          <w:color w:val="000000"/>
        </w:rPr>
      </w:pPr>
      <w:r>
        <w:rPr>
          <w:rFonts w:ascii="Arial" w:hAnsi="Arial" w:cs="Arial"/>
          <w:color w:val="000000"/>
        </w:rPr>
        <w:t>The Tribunal has approved the merger of</w:t>
      </w:r>
      <w:r w:rsidR="00A82408" w:rsidRPr="00CA345C">
        <w:rPr>
          <w:rFonts w:ascii="Arial" w:hAnsi="Arial" w:cs="Arial"/>
          <w:color w:val="000000"/>
        </w:rPr>
        <w:t xml:space="preserve"> Fortress Income Fund Ltd, which owns a property portfolio comprising industrial, r</w:t>
      </w:r>
      <w:r>
        <w:rPr>
          <w:rFonts w:ascii="Arial" w:hAnsi="Arial" w:cs="Arial"/>
          <w:color w:val="000000"/>
        </w:rPr>
        <w:t>etail and office properties and</w:t>
      </w:r>
      <w:r w:rsidR="00A82408" w:rsidRPr="00CA345C">
        <w:rPr>
          <w:rFonts w:ascii="Arial" w:hAnsi="Arial" w:cs="Arial"/>
          <w:color w:val="000000"/>
        </w:rPr>
        <w:t xml:space="preserve"> target firm being Lodestone REIT Ltd, listed as a real estate investment trust on the alternative Exchange Index of the JSE. </w:t>
      </w:r>
    </w:p>
    <w:p w14:paraId="39FFF09B" w14:textId="77777777" w:rsidR="00A82408" w:rsidRPr="00CA345C" w:rsidRDefault="00A82408" w:rsidP="00735124">
      <w:pPr>
        <w:spacing w:after="0" w:line="240" w:lineRule="auto"/>
        <w:jc w:val="both"/>
        <w:rPr>
          <w:rFonts w:ascii="Arial" w:hAnsi="Arial" w:cs="Arial"/>
          <w:color w:val="000000"/>
        </w:rPr>
      </w:pPr>
    </w:p>
    <w:p w14:paraId="2ABE365D" w14:textId="77777777" w:rsidR="00A82408" w:rsidRPr="00CA345C" w:rsidRDefault="006E0E40" w:rsidP="00735124">
      <w:pPr>
        <w:spacing w:after="0" w:line="240" w:lineRule="auto"/>
        <w:jc w:val="both"/>
        <w:rPr>
          <w:rFonts w:ascii="Arial" w:hAnsi="Arial" w:cs="Arial"/>
          <w:color w:val="000000"/>
        </w:rPr>
      </w:pPr>
      <w:r>
        <w:rPr>
          <w:rFonts w:ascii="Arial" w:hAnsi="Arial" w:cs="Arial"/>
          <w:color w:val="000000"/>
        </w:rPr>
        <w:t>Post-merger Fortress will</w:t>
      </w:r>
      <w:r w:rsidR="00A82408" w:rsidRPr="00CA345C">
        <w:rPr>
          <w:rFonts w:ascii="Arial" w:hAnsi="Arial" w:cs="Arial"/>
          <w:color w:val="000000"/>
        </w:rPr>
        <w:t xml:space="preserve"> have sole control of Lodestone. </w:t>
      </w:r>
    </w:p>
    <w:p w14:paraId="5E384F45" w14:textId="77777777" w:rsidR="0047129E" w:rsidRPr="00CA345C" w:rsidRDefault="0047129E" w:rsidP="00735124">
      <w:pPr>
        <w:spacing w:after="0" w:line="240" w:lineRule="auto"/>
        <w:jc w:val="both"/>
        <w:rPr>
          <w:rFonts w:ascii="Arial" w:hAnsi="Arial" w:cs="Arial"/>
          <w:color w:val="000000"/>
        </w:rPr>
      </w:pPr>
    </w:p>
    <w:p w14:paraId="314600D4" w14:textId="77777777" w:rsidR="0047129E" w:rsidRPr="00CA345C" w:rsidRDefault="0047129E" w:rsidP="00735124">
      <w:pPr>
        <w:spacing w:after="0" w:line="240" w:lineRule="auto"/>
        <w:jc w:val="both"/>
        <w:rPr>
          <w:rFonts w:ascii="Arial" w:hAnsi="Arial" w:cs="Arial"/>
          <w:b/>
          <w:color w:val="000000"/>
        </w:rPr>
      </w:pPr>
      <w:r w:rsidRPr="00CA345C">
        <w:rPr>
          <w:rFonts w:ascii="Arial" w:hAnsi="Arial" w:cs="Arial"/>
          <w:b/>
          <w:color w:val="000000"/>
        </w:rPr>
        <w:t xml:space="preserve">Capital Propfund looks to merge </w:t>
      </w:r>
      <w:r w:rsidR="0029738C" w:rsidRPr="00CA345C">
        <w:rPr>
          <w:rFonts w:ascii="Arial" w:hAnsi="Arial" w:cs="Arial"/>
          <w:b/>
          <w:color w:val="000000"/>
        </w:rPr>
        <w:t>with target firm’s property</w:t>
      </w:r>
    </w:p>
    <w:p w14:paraId="659A9B08" w14:textId="77777777" w:rsidR="00C838F1" w:rsidRPr="00CA345C" w:rsidRDefault="00C838F1" w:rsidP="00735124">
      <w:pPr>
        <w:spacing w:after="0" w:line="240" w:lineRule="auto"/>
        <w:jc w:val="both"/>
        <w:rPr>
          <w:rFonts w:ascii="Arial" w:hAnsi="Arial" w:cs="Arial"/>
          <w:color w:val="000000"/>
        </w:rPr>
      </w:pPr>
    </w:p>
    <w:p w14:paraId="773A6FD3" w14:textId="77777777" w:rsidR="0047129E" w:rsidRDefault="006F23AB" w:rsidP="00735124">
      <w:pPr>
        <w:spacing w:after="0" w:line="240" w:lineRule="auto"/>
        <w:jc w:val="both"/>
        <w:rPr>
          <w:rFonts w:ascii="Arial" w:hAnsi="Arial" w:cs="Arial"/>
          <w:color w:val="000000"/>
        </w:rPr>
      </w:pPr>
      <w:r>
        <w:rPr>
          <w:rFonts w:ascii="Arial" w:hAnsi="Arial" w:cs="Arial"/>
          <w:color w:val="000000"/>
        </w:rPr>
        <w:t xml:space="preserve">The </w:t>
      </w:r>
      <w:r w:rsidR="00DC3839">
        <w:rPr>
          <w:rFonts w:ascii="Arial" w:hAnsi="Arial" w:cs="Arial"/>
          <w:color w:val="000000"/>
        </w:rPr>
        <w:t xml:space="preserve">Tribunal also approved the </w:t>
      </w:r>
      <w:r>
        <w:rPr>
          <w:rFonts w:ascii="Arial" w:hAnsi="Arial" w:cs="Arial"/>
          <w:color w:val="000000"/>
        </w:rPr>
        <w:t xml:space="preserve">merger of </w:t>
      </w:r>
      <w:r w:rsidR="00C838F1" w:rsidRPr="00CA345C">
        <w:rPr>
          <w:rFonts w:ascii="Arial" w:hAnsi="Arial" w:cs="Arial"/>
          <w:color w:val="000000"/>
        </w:rPr>
        <w:t>Capital Propfund Pty Ltd, ultimately controlled by JSE-listed Fortress Income Fund Ltd</w:t>
      </w:r>
      <w:r>
        <w:rPr>
          <w:rFonts w:ascii="Arial" w:hAnsi="Arial" w:cs="Arial"/>
          <w:color w:val="000000"/>
        </w:rPr>
        <w:t xml:space="preserve">, </w:t>
      </w:r>
      <w:r w:rsidR="0047129E" w:rsidRPr="00CA345C">
        <w:rPr>
          <w:rFonts w:ascii="Arial" w:hAnsi="Arial" w:cs="Arial"/>
          <w:color w:val="000000"/>
        </w:rPr>
        <w:t>with</w:t>
      </w:r>
      <w:r w:rsidR="0029738C" w:rsidRPr="00CA345C">
        <w:rPr>
          <w:rFonts w:ascii="Arial" w:hAnsi="Arial" w:cs="Arial"/>
          <w:color w:val="000000"/>
        </w:rPr>
        <w:t xml:space="preserve"> the target firm’s property - </w:t>
      </w:r>
      <w:r w:rsidR="0047129E" w:rsidRPr="00CA345C">
        <w:rPr>
          <w:rFonts w:ascii="Arial" w:hAnsi="Arial" w:cs="Arial"/>
          <w:color w:val="000000"/>
        </w:rPr>
        <w:t>P</w:t>
      </w:r>
      <w:r w:rsidR="00F71F48">
        <w:rPr>
          <w:rFonts w:ascii="Arial" w:hAnsi="Arial" w:cs="Arial"/>
          <w:color w:val="000000"/>
        </w:rPr>
        <w:t>ortion 61</w:t>
      </w:r>
      <w:r w:rsidR="00DC3839">
        <w:rPr>
          <w:rFonts w:ascii="Arial" w:hAnsi="Arial" w:cs="Arial"/>
          <w:color w:val="000000"/>
        </w:rPr>
        <w:t>, vacant land</w:t>
      </w:r>
      <w:r w:rsidR="00F71F48">
        <w:rPr>
          <w:rFonts w:ascii="Arial" w:hAnsi="Arial" w:cs="Arial"/>
          <w:color w:val="000000"/>
        </w:rPr>
        <w:t xml:space="preserve"> of a farm based in Ek</w:t>
      </w:r>
      <w:r w:rsidR="0047129E" w:rsidRPr="00CA345C">
        <w:rPr>
          <w:rFonts w:ascii="Arial" w:hAnsi="Arial" w:cs="Arial"/>
          <w:color w:val="000000"/>
        </w:rPr>
        <w:t>urhuleni</w:t>
      </w:r>
      <w:r w:rsidR="00DC3839">
        <w:rPr>
          <w:rFonts w:ascii="Arial" w:hAnsi="Arial" w:cs="Arial"/>
          <w:color w:val="000000"/>
        </w:rPr>
        <w:t xml:space="preserve">. </w:t>
      </w:r>
    </w:p>
    <w:p w14:paraId="17E0DD67" w14:textId="77777777" w:rsidR="00DC3839" w:rsidRPr="00CA345C" w:rsidRDefault="00DC3839" w:rsidP="00735124">
      <w:pPr>
        <w:spacing w:after="0" w:line="240" w:lineRule="auto"/>
        <w:jc w:val="both"/>
        <w:rPr>
          <w:rFonts w:ascii="Arial" w:hAnsi="Arial" w:cs="Arial"/>
          <w:color w:val="000000"/>
        </w:rPr>
      </w:pPr>
    </w:p>
    <w:p w14:paraId="289A73B0" w14:textId="77777777" w:rsidR="0047129E" w:rsidRPr="00CA345C" w:rsidRDefault="0047129E" w:rsidP="00735124">
      <w:pPr>
        <w:spacing w:after="0" w:line="240" w:lineRule="auto"/>
        <w:jc w:val="both"/>
        <w:rPr>
          <w:rFonts w:ascii="Arial" w:hAnsi="Arial" w:cs="Arial"/>
          <w:color w:val="000000"/>
        </w:rPr>
      </w:pPr>
      <w:r w:rsidRPr="00CA345C">
        <w:rPr>
          <w:rFonts w:ascii="Arial" w:hAnsi="Arial" w:cs="Arial"/>
          <w:color w:val="000000"/>
        </w:rPr>
        <w:t>Capital Propfund is a property ownership group which holds various types of properties, while the property concerned is presently vacant land that is yet to be developed.</w:t>
      </w:r>
    </w:p>
    <w:p w14:paraId="4854F46A" w14:textId="77777777" w:rsidR="00CA345C" w:rsidRPr="00CA345C" w:rsidRDefault="00CA345C" w:rsidP="00CA345C">
      <w:pPr>
        <w:spacing w:after="0" w:line="240" w:lineRule="auto"/>
        <w:jc w:val="both"/>
        <w:rPr>
          <w:rFonts w:ascii="Arial Narrow" w:hAnsi="Arial Narrow"/>
          <w:color w:val="000000"/>
        </w:rPr>
      </w:pPr>
      <w:r w:rsidRPr="00CA345C">
        <w:rPr>
          <w:rFonts w:ascii="Arial Narrow" w:hAnsi="Arial Narrow"/>
          <w:color w:val="000000"/>
        </w:rPr>
        <w:t xml:space="preserve">. </w:t>
      </w:r>
    </w:p>
    <w:p w14:paraId="7E31594D" w14:textId="77777777" w:rsidR="00CA345C" w:rsidRPr="00CA345C" w:rsidRDefault="00CA345C" w:rsidP="00CA345C">
      <w:pPr>
        <w:spacing w:after="0" w:line="240" w:lineRule="auto"/>
        <w:jc w:val="both"/>
        <w:rPr>
          <w:rFonts w:ascii="Arial" w:hAnsi="Arial" w:cs="Arial"/>
          <w:b/>
          <w:color w:val="000000"/>
        </w:rPr>
      </w:pPr>
      <w:r w:rsidRPr="00CA345C">
        <w:rPr>
          <w:rFonts w:ascii="Arial" w:hAnsi="Arial" w:cs="Arial"/>
          <w:b/>
          <w:color w:val="000000"/>
        </w:rPr>
        <w:t xml:space="preserve">Clicks Retailers Ltd merger with Netcare Pharmacies </w:t>
      </w:r>
      <w:r w:rsidR="003A2640">
        <w:rPr>
          <w:rFonts w:ascii="Arial" w:hAnsi="Arial" w:cs="Arial"/>
          <w:b/>
          <w:color w:val="000000"/>
        </w:rPr>
        <w:t>approved</w:t>
      </w:r>
    </w:p>
    <w:p w14:paraId="463BD429" w14:textId="77777777" w:rsidR="00CA345C" w:rsidRPr="00CA345C" w:rsidRDefault="00CA345C" w:rsidP="00CA345C">
      <w:pPr>
        <w:spacing w:after="0" w:line="240" w:lineRule="auto"/>
        <w:jc w:val="both"/>
        <w:rPr>
          <w:rFonts w:ascii="Arial" w:hAnsi="Arial" w:cs="Arial"/>
          <w:color w:val="000000"/>
        </w:rPr>
      </w:pPr>
    </w:p>
    <w:p w14:paraId="00470609" w14:textId="77777777" w:rsidR="004009DB" w:rsidRDefault="00B34354" w:rsidP="00CA345C">
      <w:pPr>
        <w:spacing w:after="0" w:line="240" w:lineRule="auto"/>
        <w:jc w:val="both"/>
        <w:rPr>
          <w:rFonts w:ascii="Arial" w:hAnsi="Arial" w:cs="Arial"/>
          <w:color w:val="000000"/>
        </w:rPr>
      </w:pPr>
      <w:r>
        <w:rPr>
          <w:rFonts w:ascii="Arial" w:hAnsi="Arial" w:cs="Arial"/>
          <w:color w:val="000000"/>
        </w:rPr>
        <w:t xml:space="preserve">The Tribunal has approved the merger involving </w:t>
      </w:r>
      <w:r w:rsidR="00CA345C" w:rsidRPr="00CA345C">
        <w:rPr>
          <w:rFonts w:ascii="Arial" w:hAnsi="Arial" w:cs="Arial"/>
          <w:color w:val="000000"/>
        </w:rPr>
        <w:t xml:space="preserve">Clicks Group </w:t>
      </w:r>
      <w:r>
        <w:rPr>
          <w:rFonts w:ascii="Arial" w:hAnsi="Arial" w:cs="Arial"/>
          <w:color w:val="000000"/>
        </w:rPr>
        <w:t xml:space="preserve">and </w:t>
      </w:r>
      <w:r w:rsidR="004009DB">
        <w:rPr>
          <w:rFonts w:ascii="Arial" w:hAnsi="Arial" w:cs="Arial"/>
          <w:color w:val="000000"/>
        </w:rPr>
        <w:t xml:space="preserve">target company </w:t>
      </w:r>
      <w:r w:rsidR="00CA345C" w:rsidRPr="00CA345C">
        <w:rPr>
          <w:rFonts w:ascii="Arial" w:hAnsi="Arial" w:cs="Arial"/>
          <w:color w:val="000000"/>
        </w:rPr>
        <w:t>Netcare in-hospital “front shops”</w:t>
      </w:r>
      <w:r w:rsidR="004009DB">
        <w:rPr>
          <w:rFonts w:ascii="Arial" w:hAnsi="Arial" w:cs="Arial"/>
          <w:color w:val="000000"/>
        </w:rPr>
        <w:t>. The front shops sell a</w:t>
      </w:r>
      <w:r w:rsidR="003A2640">
        <w:rPr>
          <w:rFonts w:ascii="Arial" w:hAnsi="Arial" w:cs="Arial"/>
          <w:color w:val="000000"/>
        </w:rPr>
        <w:t xml:space="preserve"> number of products and medicines that have a zero schedule rating.  </w:t>
      </w:r>
    </w:p>
    <w:p w14:paraId="3FBF3247" w14:textId="77777777" w:rsidR="004009DB" w:rsidRDefault="004009DB" w:rsidP="00CA345C">
      <w:pPr>
        <w:spacing w:after="0" w:line="240" w:lineRule="auto"/>
        <w:jc w:val="both"/>
        <w:rPr>
          <w:rFonts w:ascii="Arial" w:hAnsi="Arial" w:cs="Arial"/>
          <w:color w:val="000000"/>
        </w:rPr>
      </w:pPr>
    </w:p>
    <w:p w14:paraId="24F8B1AD"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The </w:t>
      </w:r>
      <w:r w:rsidR="003A2640">
        <w:rPr>
          <w:rFonts w:ascii="Arial" w:hAnsi="Arial" w:cs="Arial"/>
          <w:color w:val="000000"/>
        </w:rPr>
        <w:t xml:space="preserve">Tribunal approved the merger </w:t>
      </w:r>
      <w:r w:rsidRPr="00CA345C">
        <w:rPr>
          <w:rFonts w:ascii="Arial" w:hAnsi="Arial" w:cs="Arial"/>
          <w:color w:val="000000"/>
        </w:rPr>
        <w:t xml:space="preserve">subject to </w:t>
      </w:r>
      <w:r w:rsidR="003A2640">
        <w:rPr>
          <w:rFonts w:ascii="Arial" w:hAnsi="Arial" w:cs="Arial"/>
          <w:color w:val="000000"/>
        </w:rPr>
        <w:t xml:space="preserve">a number of </w:t>
      </w:r>
      <w:r w:rsidRPr="00CA345C">
        <w:rPr>
          <w:rFonts w:ascii="Arial" w:hAnsi="Arial" w:cs="Arial"/>
          <w:color w:val="000000"/>
        </w:rPr>
        <w:t>conditions</w:t>
      </w:r>
      <w:r w:rsidR="003A2640">
        <w:rPr>
          <w:rFonts w:ascii="Arial" w:hAnsi="Arial" w:cs="Arial"/>
          <w:color w:val="000000"/>
        </w:rPr>
        <w:t>, some of which are outlined below</w:t>
      </w:r>
      <w:r w:rsidRPr="00CA345C">
        <w:rPr>
          <w:rFonts w:ascii="Arial" w:hAnsi="Arial" w:cs="Arial"/>
          <w:color w:val="000000"/>
        </w:rPr>
        <w:t xml:space="preserve">. </w:t>
      </w:r>
    </w:p>
    <w:p w14:paraId="73C50094" w14:textId="77777777" w:rsidR="00CA345C" w:rsidRPr="00CA345C" w:rsidRDefault="00CA345C" w:rsidP="00CA345C">
      <w:pPr>
        <w:spacing w:after="0" w:line="240" w:lineRule="auto"/>
        <w:jc w:val="both"/>
        <w:rPr>
          <w:rFonts w:ascii="Arial" w:hAnsi="Arial" w:cs="Arial"/>
          <w:color w:val="000000"/>
        </w:rPr>
      </w:pPr>
    </w:p>
    <w:p w14:paraId="67B41996"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lastRenderedPageBreak/>
        <w:t xml:space="preserve">Clicks comprises a range of specialist health and beauty retail outlets, as well as pharmaceutical wholesalers and distributors known as United Pharmaceutical Distributors. </w:t>
      </w:r>
    </w:p>
    <w:p w14:paraId="03467805" w14:textId="77777777" w:rsidR="00CA345C" w:rsidRPr="00CA345C" w:rsidRDefault="00CA345C" w:rsidP="00CA345C">
      <w:pPr>
        <w:spacing w:after="0" w:line="240" w:lineRule="auto"/>
        <w:jc w:val="both"/>
        <w:rPr>
          <w:rFonts w:ascii="Arial" w:hAnsi="Arial" w:cs="Arial"/>
          <w:color w:val="000000"/>
        </w:rPr>
      </w:pPr>
    </w:p>
    <w:p w14:paraId="41771A34"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Netcare is a provider of private hospital services in SA and other countries. It operates institutional and retail pharmacies in its hospitals and the retail pharmacies in various Medicross Centres. </w:t>
      </w:r>
    </w:p>
    <w:p w14:paraId="11351430" w14:textId="77777777" w:rsidR="00CA345C" w:rsidRPr="00CA345C" w:rsidRDefault="00CA345C" w:rsidP="00CA345C">
      <w:pPr>
        <w:spacing w:after="0" w:line="240" w:lineRule="auto"/>
        <w:jc w:val="both"/>
        <w:rPr>
          <w:rFonts w:ascii="Arial" w:hAnsi="Arial" w:cs="Arial"/>
          <w:color w:val="000000"/>
        </w:rPr>
      </w:pPr>
    </w:p>
    <w:p w14:paraId="3C543102"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Post-merger Clicks will own, manage and control the front shop businesses of Netcare Pharmacies – this excludes the dispensing of prescriptions in the hospital pharmacies which will remain with Netcare Pharmacies operations. </w:t>
      </w:r>
      <w:r w:rsidR="003A2640">
        <w:rPr>
          <w:rFonts w:ascii="Arial" w:hAnsi="Arial" w:cs="Arial"/>
          <w:color w:val="000000"/>
        </w:rPr>
        <w:t xml:space="preserve">The merger will also see Clicks take over the retail pharmacy business of pharmacies within the Medicross Clinics. </w:t>
      </w:r>
    </w:p>
    <w:p w14:paraId="04E8DCB7" w14:textId="77777777" w:rsidR="00CA345C" w:rsidRPr="00CA345C" w:rsidRDefault="00CA345C" w:rsidP="00CA345C">
      <w:pPr>
        <w:spacing w:after="0" w:line="240" w:lineRule="auto"/>
        <w:jc w:val="both"/>
        <w:rPr>
          <w:rFonts w:ascii="Arial" w:hAnsi="Arial" w:cs="Arial"/>
          <w:color w:val="000000"/>
        </w:rPr>
      </w:pPr>
    </w:p>
    <w:p w14:paraId="74681ACA" w14:textId="77777777" w:rsidR="003A2640" w:rsidRDefault="00CA345C" w:rsidP="00CA345C">
      <w:pPr>
        <w:spacing w:after="0" w:line="240" w:lineRule="auto"/>
        <w:jc w:val="both"/>
        <w:rPr>
          <w:rFonts w:ascii="Arial" w:hAnsi="Arial" w:cs="Arial"/>
          <w:color w:val="000000"/>
        </w:rPr>
      </w:pPr>
      <w:r w:rsidRPr="00CA345C">
        <w:rPr>
          <w:rFonts w:ascii="Arial" w:hAnsi="Arial" w:cs="Arial"/>
          <w:color w:val="000000"/>
        </w:rPr>
        <w:t xml:space="preserve">Conditions recommended by the Commission including: a five-year moratorium on retrenchments; that the merging parties provide training and development in SA and merging parties agree to </w:t>
      </w:r>
      <w:r w:rsidR="003A2640">
        <w:rPr>
          <w:rFonts w:ascii="Arial" w:hAnsi="Arial" w:cs="Arial"/>
          <w:color w:val="000000"/>
        </w:rPr>
        <w:t xml:space="preserve">improve their level of procurement of SA products, where possible improve on current levels. </w:t>
      </w:r>
    </w:p>
    <w:p w14:paraId="58D8AE11" w14:textId="77777777" w:rsidR="003A2640" w:rsidRDefault="003A2640" w:rsidP="00CA345C">
      <w:pPr>
        <w:spacing w:after="0" w:line="240" w:lineRule="auto"/>
        <w:jc w:val="both"/>
        <w:rPr>
          <w:rFonts w:ascii="Arial" w:hAnsi="Arial" w:cs="Arial"/>
          <w:color w:val="000000"/>
        </w:rPr>
      </w:pPr>
    </w:p>
    <w:p w14:paraId="0B9AB798" w14:textId="77777777" w:rsidR="003A2640" w:rsidRDefault="003A2640" w:rsidP="00CA345C">
      <w:pPr>
        <w:spacing w:after="0" w:line="240" w:lineRule="auto"/>
        <w:jc w:val="both"/>
        <w:rPr>
          <w:rFonts w:ascii="Arial" w:hAnsi="Arial" w:cs="Arial"/>
          <w:color w:val="000000"/>
        </w:rPr>
      </w:pPr>
      <w:r>
        <w:rPr>
          <w:rFonts w:ascii="Arial" w:hAnsi="Arial" w:cs="Arial"/>
          <w:color w:val="000000"/>
        </w:rPr>
        <w:t xml:space="preserve">The merger conditions also stipulate that 183 Medicross employees and 24 Netcare employees will transfer from Netcare to Clicks Retailers. The merger is likely to also see the employment of more than 60 additional employees. </w:t>
      </w:r>
    </w:p>
    <w:p w14:paraId="4981E788" w14:textId="77777777" w:rsidR="00DC5085" w:rsidRDefault="00DC5085" w:rsidP="00CA345C">
      <w:pPr>
        <w:spacing w:after="0" w:line="240" w:lineRule="auto"/>
        <w:jc w:val="both"/>
        <w:rPr>
          <w:rFonts w:ascii="Arial" w:hAnsi="Arial" w:cs="Arial"/>
          <w:color w:val="000000"/>
        </w:rPr>
      </w:pPr>
    </w:p>
    <w:p w14:paraId="179C37C8" w14:textId="77777777" w:rsidR="00DC5085" w:rsidRPr="00CA345C" w:rsidRDefault="008026B9" w:rsidP="00CA345C">
      <w:pPr>
        <w:spacing w:after="0" w:line="240" w:lineRule="auto"/>
        <w:jc w:val="both"/>
        <w:rPr>
          <w:rFonts w:ascii="Arial" w:hAnsi="Arial" w:cs="Arial"/>
          <w:color w:val="000000"/>
        </w:rPr>
      </w:pPr>
      <w:r>
        <w:rPr>
          <w:rFonts w:ascii="Arial" w:hAnsi="Arial" w:cs="Arial"/>
          <w:color w:val="000000"/>
        </w:rPr>
        <w:t xml:space="preserve">The conditions prohibit the </w:t>
      </w:r>
      <w:r w:rsidR="00DC5085">
        <w:rPr>
          <w:rFonts w:ascii="Arial" w:hAnsi="Arial" w:cs="Arial"/>
          <w:color w:val="000000"/>
        </w:rPr>
        <w:t xml:space="preserve">exchange of competitively sensitive information between the merging parties. </w:t>
      </w:r>
    </w:p>
    <w:p w14:paraId="5F14B24B" w14:textId="77777777" w:rsidR="009966EB" w:rsidRPr="00CA345C" w:rsidRDefault="009966EB" w:rsidP="00735124">
      <w:pPr>
        <w:spacing w:after="0" w:line="240" w:lineRule="auto"/>
        <w:jc w:val="both"/>
        <w:rPr>
          <w:rFonts w:ascii="Arial" w:hAnsi="Arial" w:cs="Arial"/>
          <w:color w:val="000000"/>
        </w:rPr>
      </w:pPr>
    </w:p>
    <w:p w14:paraId="3808E1C1"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Issued by: </w:t>
      </w:r>
    </w:p>
    <w:p w14:paraId="47C98247"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Chantelle Benjamin </w:t>
      </w:r>
    </w:p>
    <w:p w14:paraId="1897BD7B"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Communications: Competition Tribunal   </w:t>
      </w:r>
    </w:p>
    <w:p w14:paraId="104CC970"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Tel (012)394 1383                                      </w:t>
      </w:r>
    </w:p>
    <w:p w14:paraId="6CD8988A"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Cell: +27 (0) 73 007 5603  </w:t>
      </w:r>
    </w:p>
    <w:p w14:paraId="4C60D194"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Twitter: @comptrib                                        </w:t>
      </w:r>
    </w:p>
    <w:p w14:paraId="395506E3"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6" w:history="1">
        <w:r w:rsidRPr="00CA345C">
          <w:rPr>
            <w:rStyle w:val="Hyperlink"/>
            <w:rFonts w:ascii="Arial" w:hAnsi="Arial" w:cs="Arial"/>
            <w:lang w:eastAsia="en-ZA"/>
          </w:rPr>
          <w:t>chantelleb@comptrib.co.za</w:t>
        </w:r>
      </w:hyperlink>
      <w:r w:rsidRPr="00CA345C">
        <w:rPr>
          <w:rFonts w:ascii="Arial" w:hAnsi="Arial" w:cs="Arial"/>
        </w:rPr>
        <w:t xml:space="preserve"> </w:t>
      </w:r>
    </w:p>
    <w:p w14:paraId="0DF6106E" w14:textId="77777777" w:rsidR="00735124" w:rsidRPr="00CA345C" w:rsidRDefault="00735124" w:rsidP="00735124">
      <w:pPr>
        <w:spacing w:after="0" w:line="240" w:lineRule="auto"/>
        <w:jc w:val="both"/>
        <w:rPr>
          <w:rFonts w:ascii="Arial" w:hAnsi="Arial" w:cs="Arial"/>
          <w:color w:val="000000"/>
        </w:rPr>
      </w:pPr>
    </w:p>
    <w:p w14:paraId="33E0F6E5" w14:textId="77777777" w:rsidR="00735124" w:rsidRPr="00CA345C" w:rsidRDefault="00735124" w:rsidP="00735124">
      <w:pPr>
        <w:spacing w:after="0" w:line="240" w:lineRule="auto"/>
        <w:jc w:val="both"/>
        <w:rPr>
          <w:rFonts w:ascii="Arial" w:hAnsi="Arial" w:cs="Arial"/>
          <w:color w:val="000000"/>
        </w:rPr>
      </w:pPr>
    </w:p>
    <w:p w14:paraId="586C8C1A"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On Behalf Of:</w:t>
      </w:r>
    </w:p>
    <w:p w14:paraId="5747A446"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Lerato Motaung                                                   </w:t>
      </w:r>
    </w:p>
    <w:p w14:paraId="727601AB"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Registrar: Competition Tribunal                                         </w:t>
      </w:r>
    </w:p>
    <w:p w14:paraId="342B0112"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Tel: (012) 394 3355                                              </w:t>
      </w:r>
    </w:p>
    <w:p w14:paraId="70D4E46E"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Cell: +27 (0) 82 556 3221                                               </w:t>
      </w:r>
    </w:p>
    <w:p w14:paraId="324C4872"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7" w:history="1">
        <w:r w:rsidRPr="00CA345C">
          <w:rPr>
            <w:rStyle w:val="Hyperlink"/>
            <w:rFonts w:ascii="Arial" w:hAnsi="Arial" w:cs="Arial"/>
            <w:lang w:eastAsia="en-ZA"/>
          </w:rPr>
          <w:t>LeratoM@comptrib.co.za</w:t>
        </w:r>
      </w:hyperlink>
    </w:p>
    <w:p w14:paraId="33841A40" w14:textId="77777777" w:rsidR="003E6D12" w:rsidRDefault="006D27E9"/>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9"/>
    <w:rsid w:val="0000269C"/>
    <w:rsid w:val="000C3F79"/>
    <w:rsid w:val="001966BE"/>
    <w:rsid w:val="001977F4"/>
    <w:rsid w:val="001E7541"/>
    <w:rsid w:val="0029738C"/>
    <w:rsid w:val="002A5A09"/>
    <w:rsid w:val="002C0295"/>
    <w:rsid w:val="002D08DE"/>
    <w:rsid w:val="003A2640"/>
    <w:rsid w:val="003B5669"/>
    <w:rsid w:val="004009DB"/>
    <w:rsid w:val="00430458"/>
    <w:rsid w:val="0047129E"/>
    <w:rsid w:val="004755EC"/>
    <w:rsid w:val="004B01A5"/>
    <w:rsid w:val="00592BD8"/>
    <w:rsid w:val="005B2D3F"/>
    <w:rsid w:val="005E3F64"/>
    <w:rsid w:val="006A2D1C"/>
    <w:rsid w:val="006E0E40"/>
    <w:rsid w:val="006F23AB"/>
    <w:rsid w:val="00735124"/>
    <w:rsid w:val="00745B4D"/>
    <w:rsid w:val="00791A55"/>
    <w:rsid w:val="008026B9"/>
    <w:rsid w:val="008679F5"/>
    <w:rsid w:val="009966EB"/>
    <w:rsid w:val="00A519DA"/>
    <w:rsid w:val="00A82408"/>
    <w:rsid w:val="00B34354"/>
    <w:rsid w:val="00BB59B5"/>
    <w:rsid w:val="00C51F76"/>
    <w:rsid w:val="00C67AD6"/>
    <w:rsid w:val="00C838F1"/>
    <w:rsid w:val="00CA345C"/>
    <w:rsid w:val="00DC3839"/>
    <w:rsid w:val="00DC5085"/>
    <w:rsid w:val="00DC5E9F"/>
    <w:rsid w:val="00F01C77"/>
    <w:rsid w:val="00F7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864"/>
  <w15:chartTrackingRefBased/>
  <w15:docId w15:val="{56E33533-0EEE-4A7E-9BEC-BA61873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24"/>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12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124"/>
    <w:rPr>
      <w:color w:val="0000FF"/>
      <w:u w:val="single"/>
    </w:rPr>
  </w:style>
  <w:style w:type="paragraph" w:styleId="BalloonText">
    <w:name w:val="Balloon Text"/>
    <w:basedOn w:val="Normal"/>
    <w:link w:val="BalloonTextChar"/>
    <w:uiPriority w:val="99"/>
    <w:semiHidden/>
    <w:unhideWhenUsed/>
    <w:rsid w:val="0000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20">
      <w:bodyDiv w:val="1"/>
      <w:marLeft w:val="0"/>
      <w:marRight w:val="0"/>
      <w:marTop w:val="0"/>
      <w:marBottom w:val="0"/>
      <w:divBdr>
        <w:top w:val="none" w:sz="0" w:space="0" w:color="auto"/>
        <w:left w:val="none" w:sz="0" w:space="0" w:color="auto"/>
        <w:bottom w:val="none" w:sz="0" w:space="0" w:color="auto"/>
        <w:right w:val="none" w:sz="0" w:space="0" w:color="auto"/>
      </w:divBdr>
    </w:div>
    <w:div w:id="20664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697F-35A9-4974-868B-884F11D1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2019-04-24T18:29:00Z</dcterms:created>
  <dcterms:modified xsi:type="dcterms:W3CDTF">2019-04-24T18:29:00Z</dcterms:modified>
</cp:coreProperties>
</file>